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6CE28">
      <w:pPr>
        <w:spacing w:line="480" w:lineRule="exact"/>
        <w:jc w:val="center"/>
        <w:outlineLvl w:val="0"/>
        <w:rPr>
          <w:rFonts w:hint="eastAsia" w:ascii="宋体" w:hAnsi="宋体" w:eastAsia="宋体"/>
          <w:b/>
          <w:color w:val="auto"/>
          <w:sz w:val="44"/>
          <w:szCs w:val="44"/>
          <w:highlight w:val="none"/>
          <w:lang w:eastAsia="zh-CN"/>
        </w:rPr>
      </w:pPr>
      <w:bookmarkStart w:id="0" w:name="_Toc27300"/>
      <w:bookmarkStart w:id="1" w:name="_Toc2815"/>
      <w:r>
        <w:rPr>
          <w:rFonts w:hint="eastAsia" w:ascii="宋体" w:hAnsi="宋体" w:cs="宋体"/>
          <w:b/>
          <w:color w:val="auto"/>
          <w:sz w:val="48"/>
          <w:szCs w:val="48"/>
          <w:highlight w:val="none"/>
          <w:lang w:eastAsia="zh-CN"/>
        </w:rPr>
        <w:t>2024年潜山市中医院艾灸仪、中药熏蒸治疗仪采购项目</w:t>
      </w:r>
      <w:bookmarkEnd w:id="0"/>
      <w:bookmarkEnd w:id="1"/>
      <w:r>
        <w:rPr>
          <w:rFonts w:hint="eastAsia" w:ascii="宋体" w:hAnsi="宋体"/>
          <w:b/>
          <w:color w:val="auto"/>
          <w:sz w:val="44"/>
          <w:szCs w:val="44"/>
          <w:highlight w:val="none"/>
          <w:lang w:val="en-US" w:eastAsia="zh-CN"/>
        </w:rPr>
        <w:t xml:space="preserve"> </w:t>
      </w:r>
    </w:p>
    <w:p w14:paraId="6E5F4D19">
      <w:pPr>
        <w:spacing w:line="480" w:lineRule="exact"/>
        <w:rPr>
          <w:rFonts w:ascii="仿宋_GB2312" w:hAnsi="宋体" w:eastAsia="仿宋_GB2312"/>
          <w:b/>
          <w:color w:val="auto"/>
          <w:sz w:val="44"/>
          <w:szCs w:val="44"/>
          <w:highlight w:val="none"/>
        </w:rPr>
      </w:pPr>
    </w:p>
    <w:p w14:paraId="00671E52">
      <w:pPr>
        <w:spacing w:line="480" w:lineRule="exact"/>
        <w:rPr>
          <w:rFonts w:ascii="宋体"/>
          <w:color w:val="auto"/>
          <w:szCs w:val="21"/>
          <w:highlight w:val="none"/>
        </w:rPr>
      </w:pPr>
    </w:p>
    <w:p w14:paraId="540C74F4">
      <w:pPr>
        <w:spacing w:line="480" w:lineRule="exact"/>
        <w:rPr>
          <w:rFonts w:ascii="宋体"/>
          <w:color w:val="auto"/>
          <w:szCs w:val="21"/>
          <w:highlight w:val="none"/>
        </w:rPr>
      </w:pPr>
    </w:p>
    <w:p w14:paraId="215625B1">
      <w:pPr>
        <w:spacing w:line="480" w:lineRule="exact"/>
        <w:rPr>
          <w:rFonts w:ascii="宋体"/>
          <w:color w:val="auto"/>
          <w:szCs w:val="21"/>
          <w:highlight w:val="none"/>
        </w:rPr>
      </w:pPr>
    </w:p>
    <w:p w14:paraId="3CB63B44">
      <w:pPr>
        <w:spacing w:line="480" w:lineRule="exact"/>
        <w:rPr>
          <w:rFonts w:ascii="宋体"/>
          <w:color w:val="auto"/>
          <w:szCs w:val="21"/>
          <w:highlight w:val="none"/>
        </w:rPr>
      </w:pPr>
    </w:p>
    <w:p w14:paraId="0C9D3FA9">
      <w:pPr>
        <w:spacing w:line="480" w:lineRule="exact"/>
        <w:jc w:val="center"/>
        <w:rPr>
          <w:rFonts w:ascii="宋体" w:cs="宋体"/>
          <w:b/>
          <w:bCs/>
          <w:color w:val="auto"/>
          <w:sz w:val="48"/>
          <w:szCs w:val="48"/>
          <w:highlight w:val="none"/>
        </w:rPr>
      </w:pPr>
      <w:r>
        <w:rPr>
          <w:rFonts w:hint="eastAsia" w:ascii="宋体" w:hAnsi="宋体" w:cs="宋体"/>
          <w:b/>
          <w:bCs/>
          <w:color w:val="auto"/>
          <w:sz w:val="48"/>
          <w:szCs w:val="48"/>
          <w:highlight w:val="none"/>
        </w:rPr>
        <w:t>磋</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商</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文</w:t>
      </w:r>
      <w:r>
        <w:rPr>
          <w:rFonts w:ascii="宋体" w:hAnsi="宋体" w:cs="宋体"/>
          <w:b/>
          <w:bCs/>
          <w:color w:val="auto"/>
          <w:sz w:val="48"/>
          <w:szCs w:val="48"/>
          <w:highlight w:val="none"/>
        </w:rPr>
        <w:t xml:space="preserve">  </w:t>
      </w:r>
      <w:r>
        <w:rPr>
          <w:rFonts w:hint="eastAsia" w:ascii="宋体" w:hAnsi="宋体" w:cs="宋体"/>
          <w:b/>
          <w:bCs/>
          <w:color w:val="auto"/>
          <w:sz w:val="48"/>
          <w:szCs w:val="48"/>
          <w:highlight w:val="none"/>
        </w:rPr>
        <w:t>件</w:t>
      </w:r>
    </w:p>
    <w:p w14:paraId="315FA304">
      <w:pPr>
        <w:spacing w:line="480" w:lineRule="exact"/>
        <w:jc w:val="center"/>
        <w:rPr>
          <w:rFonts w:ascii="宋体" w:cs="宋体"/>
          <w:b/>
          <w:bCs/>
          <w:color w:val="auto"/>
          <w:sz w:val="48"/>
          <w:szCs w:val="48"/>
          <w:highlight w:val="none"/>
        </w:rPr>
      </w:pPr>
    </w:p>
    <w:p w14:paraId="7B27D6AF">
      <w:pPr>
        <w:spacing w:line="480" w:lineRule="exact"/>
        <w:jc w:val="center"/>
        <w:outlineLvl w:val="0"/>
        <w:rPr>
          <w:rFonts w:hint="eastAsia" w:ascii="宋体" w:hAnsi="宋体" w:eastAsia="宋体" w:cs="宋体"/>
          <w:b/>
          <w:bCs/>
          <w:color w:val="auto"/>
          <w:sz w:val="28"/>
          <w:szCs w:val="28"/>
          <w:highlight w:val="none"/>
          <w:lang w:val="en-US" w:eastAsia="zh-CN"/>
        </w:rPr>
      </w:pPr>
      <w:bookmarkStart w:id="2" w:name="_Toc21780"/>
      <w:bookmarkStart w:id="3" w:name="_Toc30441"/>
      <w:bookmarkStart w:id="4" w:name="_Toc8363"/>
      <w:bookmarkStart w:id="5" w:name="_Toc24286"/>
      <w:bookmarkStart w:id="6" w:name="_Toc18368"/>
      <w:r>
        <w:rPr>
          <w:rFonts w:hint="eastAsia" w:ascii="宋体" w:hAnsi="宋体" w:cs="宋体"/>
          <w:b/>
          <w:bCs/>
          <w:color w:val="auto"/>
          <w:sz w:val="28"/>
          <w:szCs w:val="28"/>
          <w:highlight w:val="none"/>
        </w:rPr>
        <w:t>项目编号：</w:t>
      </w:r>
      <w:bookmarkEnd w:id="2"/>
      <w:bookmarkEnd w:id="3"/>
      <w:bookmarkEnd w:id="4"/>
      <w:r>
        <w:rPr>
          <w:rFonts w:hint="eastAsia" w:eastAsiaTheme="minorEastAsia"/>
          <w:b/>
          <w:color w:val="auto"/>
          <w:sz w:val="24"/>
          <w:highlight w:val="none"/>
          <w:lang w:eastAsia="zh-CN"/>
        </w:rPr>
        <w:t>皖TJ-CG24050</w:t>
      </w:r>
      <w:bookmarkEnd w:id="5"/>
      <w:bookmarkEnd w:id="6"/>
    </w:p>
    <w:p w14:paraId="65623A6D">
      <w:pPr>
        <w:spacing w:line="480" w:lineRule="exact"/>
        <w:jc w:val="center"/>
        <w:rPr>
          <w:rFonts w:ascii="宋体" w:hAnsi="宋体" w:cs="宋体"/>
          <w:b/>
          <w:bCs/>
          <w:color w:val="auto"/>
          <w:sz w:val="28"/>
          <w:szCs w:val="28"/>
          <w:highlight w:val="none"/>
        </w:rPr>
      </w:pPr>
    </w:p>
    <w:p w14:paraId="64DD2E42">
      <w:pPr>
        <w:spacing w:line="480" w:lineRule="exact"/>
        <w:jc w:val="center"/>
        <w:rPr>
          <w:rFonts w:ascii="宋体" w:hAnsi="宋体" w:cs="仿宋_GB2312"/>
          <w:b/>
          <w:bCs/>
          <w:color w:val="auto"/>
          <w:sz w:val="28"/>
          <w:szCs w:val="28"/>
          <w:highlight w:val="none"/>
        </w:rPr>
      </w:pPr>
    </w:p>
    <w:p w14:paraId="77DB490A">
      <w:pPr>
        <w:spacing w:line="480" w:lineRule="exact"/>
        <w:rPr>
          <w:rFonts w:ascii="宋体" w:hAnsi="宋体" w:cs="仿宋_GB2312"/>
          <w:color w:val="auto"/>
          <w:szCs w:val="21"/>
          <w:highlight w:val="none"/>
        </w:rPr>
      </w:pPr>
    </w:p>
    <w:p w14:paraId="663D124F">
      <w:pPr>
        <w:spacing w:line="480" w:lineRule="exact"/>
        <w:rPr>
          <w:rFonts w:ascii="宋体" w:hAnsi="宋体" w:cs="仿宋_GB2312"/>
          <w:color w:val="auto"/>
          <w:szCs w:val="21"/>
          <w:highlight w:val="none"/>
        </w:rPr>
      </w:pPr>
    </w:p>
    <w:p w14:paraId="63E92798">
      <w:pPr>
        <w:spacing w:line="480" w:lineRule="exact"/>
        <w:rPr>
          <w:rFonts w:ascii="宋体" w:hAnsi="宋体" w:cs="仿宋_GB2312"/>
          <w:color w:val="auto"/>
          <w:szCs w:val="21"/>
          <w:highlight w:val="none"/>
        </w:rPr>
      </w:pPr>
    </w:p>
    <w:p w14:paraId="444ACDFF">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ascii="宋体" w:hAnsi="宋体" w:cs="仿宋_GB2312"/>
          <w:b/>
          <w:color w:val="auto"/>
          <w:sz w:val="30"/>
          <w:szCs w:val="30"/>
          <w:highlight w:val="none"/>
          <w:u w:val="single"/>
        </w:rPr>
        <w:t xml:space="preserve"> </w:t>
      </w:r>
      <w:r>
        <w:rPr>
          <w:rFonts w:hint="eastAsia" w:asciiTheme="minorEastAsia" w:hAnsiTheme="minorEastAsia" w:eastAsiaTheme="minorEastAsia" w:cstheme="minorEastAsia"/>
          <w:b/>
          <w:color w:val="auto"/>
          <w:spacing w:val="20"/>
          <w:sz w:val="30"/>
          <w:szCs w:val="30"/>
          <w:highlight w:val="none"/>
          <w:u w:val="single"/>
        </w:rPr>
        <w:t>潜山市中医院</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0324E32A">
      <w:pPr>
        <w:spacing w:line="360" w:lineRule="auto"/>
        <w:rPr>
          <w:rFonts w:ascii="宋体" w:hAnsi="宋体" w:cs="仿宋_GB2312"/>
          <w:b/>
          <w:color w:val="auto"/>
          <w:sz w:val="24"/>
          <w:highlight w:val="none"/>
        </w:rPr>
      </w:pPr>
    </w:p>
    <w:p w14:paraId="7C94B3B2">
      <w:pPr>
        <w:spacing w:line="360" w:lineRule="auto"/>
        <w:rPr>
          <w:rFonts w:ascii="宋体" w:hAnsi="宋体" w:cs="仿宋_GB2312"/>
          <w:b/>
          <w:color w:val="auto"/>
          <w:sz w:val="24"/>
          <w:highlight w:val="none"/>
        </w:rPr>
      </w:pPr>
    </w:p>
    <w:p w14:paraId="5F9A7A35">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ascii="宋体" w:hAnsi="宋体" w:cs="仿宋_GB2312"/>
          <w:b/>
          <w:color w:val="auto"/>
          <w:sz w:val="30"/>
          <w:szCs w:val="30"/>
          <w:highlight w:val="none"/>
          <w:u w:val="single"/>
        </w:rPr>
        <w:t xml:space="preserve"> </w:t>
      </w:r>
      <w:r>
        <w:rPr>
          <w:rFonts w:hint="eastAsia" w:asciiTheme="minorEastAsia" w:hAnsiTheme="minorEastAsia" w:eastAsiaTheme="minorEastAsia" w:cstheme="minorEastAsia"/>
          <w:b/>
          <w:color w:val="auto"/>
          <w:sz w:val="32"/>
          <w:highlight w:val="none"/>
          <w:u w:val="single"/>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6D1827B0">
      <w:pPr>
        <w:spacing w:line="360" w:lineRule="auto"/>
        <w:rPr>
          <w:rFonts w:ascii="宋体" w:hAnsi="宋体" w:cs="仿宋_GB2312"/>
          <w:b/>
          <w:color w:val="auto"/>
          <w:sz w:val="24"/>
          <w:highlight w:val="none"/>
          <w:u w:val="single"/>
        </w:rPr>
      </w:pPr>
    </w:p>
    <w:p w14:paraId="53B1D9DC">
      <w:pPr>
        <w:spacing w:line="360" w:lineRule="auto"/>
        <w:rPr>
          <w:rFonts w:ascii="宋体" w:hAnsi="宋体" w:cs="仿宋_GB2312"/>
          <w:color w:val="auto"/>
          <w:sz w:val="24"/>
          <w:highlight w:val="none"/>
        </w:rPr>
      </w:pPr>
    </w:p>
    <w:p w14:paraId="6D05B06E">
      <w:pPr>
        <w:spacing w:line="360" w:lineRule="auto"/>
        <w:rPr>
          <w:rFonts w:ascii="宋体" w:hAnsi="宋体" w:cs="仿宋_GB2312"/>
          <w:b/>
          <w:color w:val="auto"/>
          <w:sz w:val="24"/>
          <w:highlight w:val="none"/>
          <w:u w:val="single"/>
        </w:rPr>
      </w:pPr>
    </w:p>
    <w:p w14:paraId="608E9A13">
      <w:pPr>
        <w:spacing w:line="480" w:lineRule="exact"/>
        <w:rPr>
          <w:rFonts w:ascii="宋体" w:hAnsi="宋体" w:cs="仿宋_GB2312"/>
          <w:color w:val="auto"/>
          <w:szCs w:val="21"/>
          <w:highlight w:val="none"/>
        </w:rPr>
      </w:pPr>
    </w:p>
    <w:p w14:paraId="69D793D7">
      <w:pPr>
        <w:spacing w:line="480" w:lineRule="exact"/>
        <w:rPr>
          <w:rFonts w:ascii="宋体" w:hAnsi="宋体" w:cs="仿宋_GB2312"/>
          <w:color w:val="auto"/>
          <w:szCs w:val="21"/>
          <w:highlight w:val="none"/>
        </w:rPr>
      </w:pPr>
    </w:p>
    <w:p w14:paraId="2FA8519B">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二零二四</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十</w:t>
      </w:r>
      <w:r>
        <w:rPr>
          <w:rFonts w:hint="eastAsia" w:ascii="宋体" w:hAnsi="宋体" w:cs="仿宋_GB2312"/>
          <w:color w:val="auto"/>
          <w:sz w:val="32"/>
          <w:szCs w:val="32"/>
          <w:highlight w:val="none"/>
        </w:rPr>
        <w:t>月</w:t>
      </w:r>
    </w:p>
    <w:p w14:paraId="49E8832B">
      <w:pPr>
        <w:spacing w:line="480" w:lineRule="exact"/>
        <w:jc w:val="center"/>
        <w:rPr>
          <w:rFonts w:ascii="宋体" w:hAnsi="宋体" w:cs="仿宋_GB2312"/>
          <w:color w:val="auto"/>
          <w:sz w:val="32"/>
          <w:szCs w:val="32"/>
          <w:highlight w:val="none"/>
        </w:rPr>
      </w:pPr>
    </w:p>
    <w:p w14:paraId="655C4262">
      <w:pPr>
        <w:pStyle w:val="74"/>
        <w:rPr>
          <w:color w:val="auto"/>
          <w:highlight w:val="none"/>
        </w:rPr>
      </w:pPr>
    </w:p>
    <w:p w14:paraId="6FB29BBB">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13B9F85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6314FAA7">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4075355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21A617D9">
      <w:pPr>
        <w:widowControl/>
        <w:spacing w:line="480" w:lineRule="auto"/>
        <w:ind w:firstLine="482" w:firstLineChars="200"/>
        <w:jc w:val="left"/>
        <w:outlineLvl w:val="1"/>
        <w:rPr>
          <w:rFonts w:ascii="宋体" w:hAnsi="宋体" w:cs="宋体"/>
          <w:b/>
          <w:color w:val="auto"/>
          <w:kern w:val="0"/>
          <w:sz w:val="24"/>
          <w:highlight w:val="none"/>
        </w:rPr>
      </w:pPr>
      <w:bookmarkStart w:id="7" w:name="_Toc17779"/>
      <w:bookmarkStart w:id="8" w:name="_Toc15385"/>
      <w:bookmarkStart w:id="9" w:name="_Toc7984"/>
      <w:bookmarkStart w:id="10" w:name="_Toc27891"/>
      <w:r>
        <w:rPr>
          <w:rFonts w:hint="eastAsia" w:ascii="宋体" w:hAnsi="宋体" w:cs="宋体"/>
          <w:b/>
          <w:color w:val="auto"/>
          <w:kern w:val="0"/>
          <w:sz w:val="24"/>
          <w:highlight w:val="none"/>
        </w:rPr>
        <w:t>3.聚众围堵开、评标现场，干扰正常开评标秩序的行为。</w:t>
      </w:r>
      <w:bookmarkEnd w:id="7"/>
      <w:bookmarkEnd w:id="8"/>
      <w:bookmarkEnd w:id="9"/>
      <w:bookmarkEnd w:id="10"/>
      <w:r>
        <w:rPr>
          <w:rFonts w:hint="eastAsia" w:ascii="宋体" w:hAnsi="宋体" w:cs="宋体"/>
          <w:b/>
          <w:color w:val="auto"/>
          <w:kern w:val="0"/>
          <w:sz w:val="24"/>
          <w:highlight w:val="none"/>
        </w:rPr>
        <w:t xml:space="preserve"> </w:t>
      </w:r>
    </w:p>
    <w:p w14:paraId="5FAF850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3D55DC42">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1E36B64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2970206D">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6EAF580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610013CA">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成人员等保密信息。 </w:t>
      </w:r>
    </w:p>
    <w:p w14:paraId="6F1EDAD2">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288E6E0D">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01362FBF">
      <w:pPr>
        <w:widowControl/>
        <w:spacing w:line="480" w:lineRule="auto"/>
        <w:ind w:firstLine="482" w:firstLineChars="200"/>
        <w:jc w:val="left"/>
        <w:outlineLvl w:val="2"/>
        <w:rPr>
          <w:rFonts w:ascii="宋体" w:hAnsi="宋体" w:cs="宋体"/>
          <w:b/>
          <w:color w:val="auto"/>
          <w:kern w:val="0"/>
          <w:sz w:val="24"/>
          <w:szCs w:val="24"/>
          <w:highlight w:val="none"/>
        </w:rPr>
      </w:pPr>
      <w:bookmarkStart w:id="11" w:name="_Toc10873"/>
      <w:bookmarkStart w:id="12" w:name="_Toc20759"/>
      <w:bookmarkStart w:id="13" w:name="_Toc4977"/>
      <w:bookmarkStart w:id="14" w:name="_Toc23367"/>
      <w:r>
        <w:rPr>
          <w:rFonts w:hint="eastAsia" w:ascii="宋体" w:hAnsi="宋体" w:cs="宋体"/>
          <w:b/>
          <w:color w:val="auto"/>
          <w:kern w:val="0"/>
          <w:sz w:val="24"/>
          <w:szCs w:val="24"/>
          <w:highlight w:val="none"/>
        </w:rPr>
        <w:t>二、请各磋商响应人认真阅读磋商文件，对下述事项予以重视：</w:t>
      </w:r>
      <w:bookmarkEnd w:id="11"/>
      <w:bookmarkEnd w:id="12"/>
      <w:bookmarkEnd w:id="13"/>
      <w:bookmarkEnd w:id="14"/>
    </w:p>
    <w:p w14:paraId="12539BD1">
      <w:pPr>
        <w:widowControl/>
        <w:spacing w:line="480" w:lineRule="auto"/>
        <w:ind w:firstLine="482" w:firstLineChars="200"/>
        <w:jc w:val="left"/>
        <w:outlineLvl w:val="1"/>
        <w:rPr>
          <w:rFonts w:ascii="宋体" w:hAnsi="宋体" w:cs="宋体"/>
          <w:b/>
          <w:color w:val="auto"/>
          <w:kern w:val="0"/>
          <w:sz w:val="24"/>
          <w:szCs w:val="24"/>
          <w:highlight w:val="none"/>
        </w:rPr>
      </w:pPr>
      <w:bookmarkStart w:id="15" w:name="_Toc21280"/>
      <w:bookmarkStart w:id="16" w:name="_Toc6205"/>
      <w:bookmarkStart w:id="17" w:name="_Toc7150"/>
      <w:bookmarkStart w:id="18" w:name="_Toc19823"/>
      <w:r>
        <w:rPr>
          <w:rFonts w:hint="eastAsia" w:ascii="宋体" w:hAnsi="宋体" w:cs="宋体"/>
          <w:b/>
          <w:color w:val="auto"/>
          <w:kern w:val="0"/>
          <w:sz w:val="24"/>
          <w:szCs w:val="24"/>
          <w:highlight w:val="none"/>
        </w:rPr>
        <w:t>1、请依据项目资格要求，自行核对营业执照合法有效。</w:t>
      </w:r>
      <w:bookmarkEnd w:id="15"/>
      <w:bookmarkEnd w:id="16"/>
      <w:bookmarkEnd w:id="17"/>
      <w:bookmarkEnd w:id="18"/>
    </w:p>
    <w:p w14:paraId="173F7803">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，并予以披露，记入不良行为记录。</w:t>
      </w:r>
    </w:p>
    <w:p w14:paraId="38134972">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30A0F6EF">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39858AD6">
      <w:pPr>
        <w:spacing w:line="480" w:lineRule="exact"/>
        <w:jc w:val="center"/>
        <w:outlineLvl w:val="0"/>
        <w:rPr>
          <w:rFonts w:hint="eastAsia" w:ascii="宋体" w:hAnsi="宋体" w:cs="宋体"/>
          <w:b/>
          <w:color w:val="auto"/>
          <w:sz w:val="36"/>
          <w:szCs w:val="36"/>
          <w:highlight w:val="none"/>
          <w:lang w:val="zh-CN"/>
        </w:rPr>
        <w:sectPr>
          <w:headerReference r:id="rId3" w:type="default"/>
          <w:footerReference r:id="rId4" w:type="default"/>
          <w:pgSz w:w="11906" w:h="16838"/>
          <w:pgMar w:top="1418" w:right="1418" w:bottom="1418" w:left="1418" w:header="851" w:footer="680" w:gutter="0"/>
          <w:pgNumType w:fmt="decimal"/>
          <w:cols w:space="720" w:num="1"/>
          <w:docGrid w:linePitch="290" w:charSpace="0"/>
        </w:sectPr>
      </w:pPr>
      <w:bookmarkStart w:id="19" w:name="_Toc8782"/>
      <w:bookmarkStart w:id="20" w:name="_Toc3775"/>
    </w:p>
    <w:p w14:paraId="7D55EDC6">
      <w:pPr>
        <w:spacing w:line="480" w:lineRule="exact"/>
        <w:jc w:val="center"/>
        <w:outlineLvl w:val="0"/>
        <w:rPr>
          <w:rFonts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bookmarkEnd w:id="19"/>
      <w:bookmarkEnd w:id="20"/>
    </w:p>
    <w:p w14:paraId="7ACCC755">
      <w:pPr>
        <w:spacing w:line="480" w:lineRule="exact"/>
        <w:rPr>
          <w:rFonts w:ascii="宋体" w:hAnsi="宋体"/>
          <w:b/>
          <w:color w:val="auto"/>
          <w:sz w:val="44"/>
          <w:szCs w:val="44"/>
          <w:highlight w:val="none"/>
          <w:lang w:val="zh-CN"/>
        </w:rPr>
      </w:pPr>
    </w:p>
    <w:p w14:paraId="5679CF3E">
      <w:pPr>
        <w:pStyle w:val="51"/>
        <w:tabs>
          <w:tab w:val="right" w:leader="dot" w:pos="9070"/>
        </w:tabs>
        <w:rPr>
          <w:color w:val="auto"/>
          <w:highlight w:val="none"/>
        </w:rPr>
      </w:pPr>
      <w:r>
        <w:rPr>
          <w:rFonts w:ascii="宋体" w:hAnsi="宋体" w:cs="宋体"/>
          <w:b w:val="0"/>
          <w:color w:val="auto"/>
          <w:sz w:val="24"/>
          <w:szCs w:val="24"/>
          <w:highlight w:val="none"/>
        </w:rPr>
        <w:fldChar w:fldCharType="begin"/>
      </w:r>
      <w:r>
        <w:rPr>
          <w:rFonts w:ascii="宋体" w:hAnsi="宋体" w:cs="宋体"/>
          <w:b w:val="0"/>
          <w:color w:val="auto"/>
          <w:sz w:val="24"/>
          <w:szCs w:val="24"/>
          <w:highlight w:val="none"/>
        </w:rPr>
        <w:instrText xml:space="preserve"> TOC \o "1-3" \h \z \u </w:instrText>
      </w:r>
      <w:r>
        <w:rPr>
          <w:rFonts w:ascii="宋体" w:hAnsi="宋体" w:cs="宋体"/>
          <w:b w:val="0"/>
          <w:color w:val="auto"/>
          <w:sz w:val="24"/>
          <w:szCs w:val="24"/>
          <w:highlight w:val="none"/>
        </w:rPr>
        <w:fldChar w:fldCharType="separate"/>
      </w:r>
    </w:p>
    <w:p w14:paraId="14B9F18C">
      <w:pPr>
        <w:pStyle w:val="40"/>
        <w:tabs>
          <w:tab w:val="right" w:leader="dot" w:pos="9070"/>
        </w:tabs>
        <w:rPr>
          <w:color w:val="auto"/>
          <w:highlight w:val="none"/>
        </w:rPr>
      </w:pPr>
      <w:r>
        <w:rPr>
          <w:rFonts w:ascii="宋体" w:hAnsi="宋体" w:cs="宋体"/>
          <w:color w:val="auto"/>
          <w:szCs w:val="24"/>
          <w:highlight w:val="none"/>
        </w:rPr>
        <w:fldChar w:fldCharType="begin"/>
      </w:r>
      <w:r>
        <w:rPr>
          <w:rFonts w:ascii="宋体" w:hAnsi="宋体" w:cs="宋体"/>
          <w:color w:val="auto"/>
          <w:szCs w:val="24"/>
          <w:highlight w:val="none"/>
        </w:rPr>
        <w:instrText xml:space="preserve"> HYPERLINK \l _Toc8782 </w:instrText>
      </w:r>
      <w:r>
        <w:rPr>
          <w:rFonts w:ascii="宋体" w:hAnsi="宋体" w:cs="宋体"/>
          <w:color w:val="auto"/>
          <w:szCs w:val="24"/>
          <w:highlight w:val="none"/>
        </w:rPr>
        <w:fldChar w:fldCharType="separate"/>
      </w:r>
      <w:r>
        <w:rPr>
          <w:rFonts w:hint="eastAsia" w:ascii="宋体" w:hAnsi="宋体" w:cs="宋体"/>
          <w:color w:val="auto"/>
          <w:szCs w:val="36"/>
          <w:highlight w:val="none"/>
          <w:lang w:val="zh-CN"/>
        </w:rPr>
        <w:t>目</w:t>
      </w:r>
      <w:r>
        <w:rPr>
          <w:rFonts w:ascii="宋体" w:hAnsi="宋体" w:cs="宋体"/>
          <w:color w:val="auto"/>
          <w:szCs w:val="36"/>
          <w:highlight w:val="none"/>
        </w:rPr>
        <w:t xml:space="preserve">    </w:t>
      </w:r>
      <w:r>
        <w:rPr>
          <w:rFonts w:hint="eastAsia" w:ascii="宋体" w:hAnsi="宋体" w:cs="宋体"/>
          <w:color w:val="auto"/>
          <w:szCs w:val="36"/>
          <w:highlight w:val="none"/>
          <w:lang w:val="zh-CN"/>
        </w:rPr>
        <w:t>录</w:t>
      </w:r>
      <w:r>
        <w:rPr>
          <w:color w:val="auto"/>
          <w:highlight w:val="none"/>
        </w:rPr>
        <w:tab/>
      </w:r>
      <w:r>
        <w:rPr>
          <w:rFonts w:ascii="宋体" w:hAnsi="宋体" w:cs="宋体"/>
          <w:color w:val="auto"/>
          <w:szCs w:val="24"/>
          <w:highlight w:val="none"/>
        </w:rPr>
        <w:fldChar w:fldCharType="end"/>
      </w:r>
    </w:p>
    <w:p w14:paraId="29B6A71E">
      <w:pPr>
        <w:pStyle w:val="40"/>
        <w:tabs>
          <w:tab w:val="right" w:leader="dot" w:pos="9070"/>
        </w:tabs>
        <w:rPr>
          <w:color w:val="auto"/>
          <w:highlight w:val="none"/>
        </w:rPr>
      </w:pPr>
      <w:r>
        <w:rPr>
          <w:rFonts w:ascii="宋体" w:hAnsi="宋体" w:cs="宋体"/>
          <w:color w:val="auto"/>
          <w:szCs w:val="24"/>
          <w:highlight w:val="none"/>
        </w:rPr>
        <w:fldChar w:fldCharType="begin"/>
      </w:r>
      <w:r>
        <w:rPr>
          <w:rFonts w:ascii="宋体" w:hAnsi="宋体" w:cs="宋体"/>
          <w:color w:val="auto"/>
          <w:szCs w:val="24"/>
          <w:highlight w:val="none"/>
        </w:rPr>
        <w:instrText xml:space="preserve"> HYPERLINK \l _Toc14702 </w:instrText>
      </w:r>
      <w:r>
        <w:rPr>
          <w:rFonts w:ascii="宋体" w:hAnsi="宋体" w:cs="宋体"/>
          <w:color w:val="auto"/>
          <w:szCs w:val="24"/>
          <w:highlight w:val="none"/>
        </w:rPr>
        <w:fldChar w:fldCharType="separate"/>
      </w:r>
      <w:r>
        <w:rPr>
          <w:rFonts w:hint="eastAsia"/>
          <w:color w:val="auto"/>
          <w:kern w:val="2"/>
          <w:szCs w:val="32"/>
          <w:highlight w:val="none"/>
        </w:rPr>
        <w:t>第一章</w:t>
      </w:r>
      <w:r>
        <w:rPr>
          <w:color w:val="auto"/>
          <w:kern w:val="2"/>
          <w:szCs w:val="32"/>
          <w:highlight w:val="none"/>
        </w:rPr>
        <w:t xml:space="preserve"> </w:t>
      </w:r>
      <w:r>
        <w:rPr>
          <w:rFonts w:hint="eastAsia"/>
          <w:color w:val="auto"/>
          <w:kern w:val="2"/>
          <w:szCs w:val="32"/>
          <w:highlight w:val="none"/>
        </w:rPr>
        <w:t>竞争性磋商公告</w:t>
      </w:r>
      <w:r>
        <w:rPr>
          <w:color w:val="auto"/>
          <w:highlight w:val="none"/>
        </w:rPr>
        <w:tab/>
      </w:r>
      <w:r>
        <w:rPr>
          <w:color w:val="auto"/>
          <w:highlight w:val="none"/>
        </w:rPr>
        <w:fldChar w:fldCharType="begin"/>
      </w:r>
      <w:r>
        <w:rPr>
          <w:color w:val="auto"/>
          <w:highlight w:val="none"/>
        </w:rPr>
        <w:instrText xml:space="preserve"> PAGEREF _Toc14702 \h </w:instrText>
      </w:r>
      <w:r>
        <w:rPr>
          <w:color w:val="auto"/>
          <w:highlight w:val="none"/>
        </w:rPr>
        <w:fldChar w:fldCharType="separate"/>
      </w:r>
      <w:r>
        <w:rPr>
          <w:color w:val="auto"/>
          <w:highlight w:val="none"/>
        </w:rPr>
        <w:t>1</w:t>
      </w:r>
      <w:r>
        <w:rPr>
          <w:color w:val="auto"/>
          <w:highlight w:val="none"/>
        </w:rPr>
        <w:fldChar w:fldCharType="end"/>
      </w:r>
      <w:r>
        <w:rPr>
          <w:rFonts w:ascii="宋体" w:hAnsi="宋体" w:cs="宋体"/>
          <w:color w:val="auto"/>
          <w:szCs w:val="24"/>
          <w:highlight w:val="none"/>
        </w:rPr>
        <w:fldChar w:fldCharType="end"/>
      </w:r>
    </w:p>
    <w:p w14:paraId="69BCAACF">
      <w:pPr>
        <w:pStyle w:val="40"/>
        <w:tabs>
          <w:tab w:val="right" w:leader="dot" w:pos="9070"/>
        </w:tabs>
        <w:rPr>
          <w:color w:val="auto"/>
          <w:highlight w:val="none"/>
        </w:rPr>
      </w:pPr>
      <w:r>
        <w:rPr>
          <w:rFonts w:ascii="宋体" w:hAnsi="宋体" w:cs="宋体"/>
          <w:color w:val="auto"/>
          <w:szCs w:val="24"/>
          <w:highlight w:val="none"/>
        </w:rPr>
        <w:fldChar w:fldCharType="begin"/>
      </w:r>
      <w:r>
        <w:rPr>
          <w:rFonts w:ascii="宋体" w:hAnsi="宋体" w:cs="宋体"/>
          <w:color w:val="auto"/>
          <w:szCs w:val="24"/>
          <w:highlight w:val="none"/>
        </w:rPr>
        <w:instrText xml:space="preserve"> HYPERLINK \l _Toc19190 </w:instrText>
      </w:r>
      <w:r>
        <w:rPr>
          <w:rFonts w:ascii="宋体" w:hAnsi="宋体" w:cs="宋体"/>
          <w:color w:val="auto"/>
          <w:szCs w:val="24"/>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_Toc19190 \h </w:instrText>
      </w:r>
      <w:r>
        <w:rPr>
          <w:color w:val="auto"/>
          <w:highlight w:val="none"/>
        </w:rPr>
        <w:fldChar w:fldCharType="separate"/>
      </w:r>
      <w:r>
        <w:rPr>
          <w:color w:val="auto"/>
          <w:highlight w:val="none"/>
        </w:rPr>
        <w:t>3</w:t>
      </w:r>
      <w:r>
        <w:rPr>
          <w:color w:val="auto"/>
          <w:highlight w:val="none"/>
        </w:rPr>
        <w:fldChar w:fldCharType="end"/>
      </w:r>
      <w:r>
        <w:rPr>
          <w:rFonts w:ascii="宋体" w:hAnsi="宋体" w:cs="宋体"/>
          <w:color w:val="auto"/>
          <w:szCs w:val="24"/>
          <w:highlight w:val="none"/>
        </w:rPr>
        <w:fldChar w:fldCharType="end"/>
      </w:r>
    </w:p>
    <w:p w14:paraId="340E2988">
      <w:pPr>
        <w:pStyle w:val="40"/>
        <w:tabs>
          <w:tab w:val="right" w:leader="dot" w:pos="9070"/>
        </w:tabs>
        <w:rPr>
          <w:color w:val="auto"/>
          <w:sz w:val="21"/>
          <w:szCs w:val="21"/>
          <w:highlight w:val="none"/>
        </w:rPr>
      </w:pPr>
      <w:r>
        <w:rPr>
          <w:rFonts w:ascii="宋体" w:hAnsi="宋体" w:cs="宋体"/>
          <w:color w:val="auto"/>
          <w:sz w:val="21"/>
          <w:szCs w:val="28"/>
          <w:highlight w:val="none"/>
        </w:rPr>
        <w:fldChar w:fldCharType="begin"/>
      </w:r>
      <w:r>
        <w:rPr>
          <w:rFonts w:ascii="宋体" w:hAnsi="宋体" w:cs="宋体"/>
          <w:color w:val="auto"/>
          <w:sz w:val="21"/>
          <w:szCs w:val="28"/>
          <w:highlight w:val="none"/>
        </w:rPr>
        <w:instrText xml:space="preserve"> HYPERLINK \l _Toc25939 </w:instrText>
      </w:r>
      <w:r>
        <w:rPr>
          <w:rFonts w:ascii="宋体" w:hAnsi="宋体" w:cs="宋体"/>
          <w:color w:val="auto"/>
          <w:sz w:val="21"/>
          <w:szCs w:val="28"/>
          <w:highlight w:val="none"/>
        </w:rPr>
        <w:fldChar w:fldCharType="separate"/>
      </w:r>
      <w:r>
        <w:rPr>
          <w:rFonts w:hint="eastAsia" w:ascii="Arial" w:hAnsi="Arial"/>
          <w:color w:val="auto"/>
          <w:kern w:val="2"/>
          <w:sz w:val="21"/>
          <w:szCs w:val="36"/>
          <w:highlight w:val="none"/>
        </w:rPr>
        <w:t>第三章</w:t>
      </w:r>
      <w:r>
        <w:rPr>
          <w:rFonts w:ascii="Arial" w:hAnsi="Arial"/>
          <w:color w:val="auto"/>
          <w:kern w:val="2"/>
          <w:sz w:val="21"/>
          <w:szCs w:val="36"/>
          <w:highlight w:val="none"/>
        </w:rPr>
        <w:t xml:space="preserve"> </w:t>
      </w:r>
      <w:r>
        <w:rPr>
          <w:rFonts w:hint="eastAsia" w:ascii="Arial" w:hAnsi="Arial"/>
          <w:color w:val="auto"/>
          <w:kern w:val="2"/>
          <w:sz w:val="21"/>
          <w:szCs w:val="36"/>
          <w:highlight w:val="none"/>
          <w:lang w:val="zh-CN"/>
        </w:rPr>
        <w:t>服务需求及技术要求</w:t>
      </w:r>
      <w:r>
        <w:rPr>
          <w:color w:val="auto"/>
          <w:sz w:val="21"/>
          <w:szCs w:val="21"/>
          <w:highlight w:val="none"/>
        </w:rPr>
        <w:tab/>
      </w:r>
      <w:r>
        <w:rPr>
          <w:color w:val="auto"/>
          <w:sz w:val="21"/>
          <w:szCs w:val="21"/>
          <w:highlight w:val="none"/>
        </w:rPr>
        <w:fldChar w:fldCharType="begin"/>
      </w:r>
      <w:r>
        <w:rPr>
          <w:color w:val="auto"/>
          <w:sz w:val="21"/>
          <w:szCs w:val="21"/>
          <w:highlight w:val="none"/>
        </w:rPr>
        <w:instrText xml:space="preserve"> PAGEREF _Toc25939 \h </w:instrText>
      </w:r>
      <w:r>
        <w:rPr>
          <w:color w:val="auto"/>
          <w:sz w:val="21"/>
          <w:szCs w:val="21"/>
          <w:highlight w:val="none"/>
        </w:rPr>
        <w:fldChar w:fldCharType="separate"/>
      </w:r>
      <w:r>
        <w:rPr>
          <w:color w:val="auto"/>
          <w:sz w:val="21"/>
          <w:szCs w:val="21"/>
          <w:highlight w:val="none"/>
        </w:rPr>
        <w:t>17</w:t>
      </w:r>
      <w:r>
        <w:rPr>
          <w:color w:val="auto"/>
          <w:sz w:val="21"/>
          <w:szCs w:val="21"/>
          <w:highlight w:val="none"/>
        </w:rPr>
        <w:fldChar w:fldCharType="end"/>
      </w:r>
      <w:r>
        <w:rPr>
          <w:rFonts w:ascii="宋体" w:hAnsi="宋体" w:cs="宋体"/>
          <w:color w:val="auto"/>
          <w:sz w:val="21"/>
          <w:szCs w:val="28"/>
          <w:highlight w:val="none"/>
        </w:rPr>
        <w:fldChar w:fldCharType="end"/>
      </w:r>
    </w:p>
    <w:p w14:paraId="4DCE3C2C">
      <w:pPr>
        <w:pStyle w:val="40"/>
        <w:tabs>
          <w:tab w:val="right" w:leader="dot" w:pos="9070"/>
        </w:tabs>
        <w:rPr>
          <w:color w:val="auto"/>
          <w:highlight w:val="none"/>
        </w:rPr>
      </w:pPr>
      <w:r>
        <w:rPr>
          <w:rFonts w:ascii="宋体" w:hAnsi="宋体" w:cs="宋体"/>
          <w:color w:val="auto"/>
          <w:szCs w:val="24"/>
          <w:highlight w:val="none"/>
        </w:rPr>
        <w:fldChar w:fldCharType="begin"/>
      </w:r>
      <w:r>
        <w:rPr>
          <w:rFonts w:ascii="宋体" w:hAnsi="宋体" w:cs="宋体"/>
          <w:color w:val="auto"/>
          <w:szCs w:val="24"/>
          <w:highlight w:val="none"/>
        </w:rPr>
        <w:instrText xml:space="preserve"> HYPERLINK \l _Toc7284 </w:instrText>
      </w:r>
      <w:r>
        <w:rPr>
          <w:rFonts w:ascii="宋体" w:hAnsi="宋体" w:cs="宋体"/>
          <w:color w:val="auto"/>
          <w:szCs w:val="24"/>
          <w:highlight w:val="none"/>
        </w:rPr>
        <w:fldChar w:fldCharType="separate"/>
      </w:r>
      <w:r>
        <w:rPr>
          <w:rFonts w:ascii="黑体" w:hAnsi="黑体" w:eastAsia="黑体" w:cs="黑体"/>
          <w:bCs/>
          <w:color w:val="auto"/>
          <w:spacing w:val="6"/>
          <w:szCs w:val="31"/>
          <w:highlight w:val="none"/>
        </w:rPr>
        <w:t>第四章</w:t>
      </w:r>
      <w:r>
        <w:rPr>
          <w:rFonts w:ascii="黑体" w:hAnsi="黑体" w:eastAsia="黑体" w:cs="黑体"/>
          <w:color w:val="auto"/>
          <w:spacing w:val="6"/>
          <w:szCs w:val="31"/>
          <w:highlight w:val="none"/>
        </w:rPr>
        <w:t xml:space="preserve"> </w:t>
      </w:r>
      <w:r>
        <w:rPr>
          <w:rFonts w:ascii="黑体" w:hAnsi="黑体" w:eastAsia="黑体" w:cs="黑体"/>
          <w:bCs/>
          <w:color w:val="auto"/>
          <w:spacing w:val="6"/>
          <w:szCs w:val="31"/>
          <w:highlight w:val="none"/>
        </w:rPr>
        <w:t>评审办法与标准</w:t>
      </w:r>
      <w:r>
        <w:rPr>
          <w:color w:val="auto"/>
          <w:highlight w:val="none"/>
        </w:rPr>
        <w:tab/>
      </w:r>
      <w:r>
        <w:rPr>
          <w:color w:val="auto"/>
          <w:highlight w:val="none"/>
        </w:rPr>
        <w:fldChar w:fldCharType="begin"/>
      </w:r>
      <w:r>
        <w:rPr>
          <w:color w:val="auto"/>
          <w:highlight w:val="none"/>
        </w:rPr>
        <w:instrText xml:space="preserve"> PAGEREF _Toc7284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color w:val="auto"/>
          <w:szCs w:val="24"/>
          <w:highlight w:val="none"/>
        </w:rPr>
        <w:fldChar w:fldCharType="end"/>
      </w:r>
    </w:p>
    <w:p w14:paraId="13A64147">
      <w:pPr>
        <w:pStyle w:val="40"/>
        <w:tabs>
          <w:tab w:val="right" w:leader="dot" w:pos="9070"/>
        </w:tabs>
        <w:rPr>
          <w:color w:val="auto"/>
          <w:highlight w:val="none"/>
        </w:rPr>
      </w:pPr>
      <w:r>
        <w:rPr>
          <w:rFonts w:ascii="宋体" w:hAnsi="宋体" w:cs="宋体"/>
          <w:color w:val="auto"/>
          <w:szCs w:val="24"/>
          <w:highlight w:val="none"/>
        </w:rPr>
        <w:fldChar w:fldCharType="begin"/>
      </w:r>
      <w:r>
        <w:rPr>
          <w:rFonts w:ascii="宋体" w:hAnsi="宋体" w:cs="宋体"/>
          <w:color w:val="auto"/>
          <w:szCs w:val="24"/>
          <w:highlight w:val="none"/>
        </w:rPr>
        <w:instrText xml:space="preserve"> HYPERLINK \l _Toc25877 </w:instrText>
      </w:r>
      <w:r>
        <w:rPr>
          <w:rFonts w:ascii="宋体" w:hAnsi="宋体" w:cs="宋体"/>
          <w:color w:val="auto"/>
          <w:szCs w:val="24"/>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_Toc25877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宋体"/>
          <w:color w:val="auto"/>
          <w:szCs w:val="24"/>
          <w:highlight w:val="none"/>
        </w:rPr>
        <w:fldChar w:fldCharType="end"/>
      </w:r>
    </w:p>
    <w:p w14:paraId="33780BD5">
      <w:pPr>
        <w:pStyle w:val="40"/>
        <w:tabs>
          <w:tab w:val="right" w:leader="dot" w:pos="9070"/>
        </w:tabs>
        <w:rPr>
          <w:color w:val="auto"/>
          <w:highlight w:val="none"/>
        </w:rPr>
      </w:pPr>
      <w:r>
        <w:rPr>
          <w:rFonts w:ascii="宋体" w:hAnsi="宋体" w:cs="宋体"/>
          <w:color w:val="auto"/>
          <w:szCs w:val="24"/>
          <w:highlight w:val="none"/>
        </w:rPr>
        <w:fldChar w:fldCharType="begin"/>
      </w:r>
      <w:r>
        <w:rPr>
          <w:rFonts w:ascii="宋体" w:hAnsi="宋体" w:cs="宋体"/>
          <w:color w:val="auto"/>
          <w:szCs w:val="24"/>
          <w:highlight w:val="none"/>
        </w:rPr>
        <w:instrText xml:space="preserve"> HYPERLINK \l _Toc17278 </w:instrText>
      </w:r>
      <w:r>
        <w:rPr>
          <w:rFonts w:ascii="宋体" w:hAnsi="宋体" w:cs="宋体"/>
          <w:color w:val="auto"/>
          <w:szCs w:val="24"/>
          <w:highlight w:val="none"/>
        </w:rPr>
        <w:fldChar w:fldCharType="separate"/>
      </w:r>
      <w:r>
        <w:rPr>
          <w:rFonts w:ascii="黑体" w:hAnsi="黑体" w:eastAsia="黑体" w:cs="黑体"/>
          <w:bCs/>
          <w:color w:val="auto"/>
          <w:spacing w:val="2"/>
          <w:szCs w:val="35"/>
          <w:highlight w:val="none"/>
        </w:rPr>
        <w:t>第六章</w:t>
      </w:r>
      <w:r>
        <w:rPr>
          <w:rFonts w:ascii="黑体" w:hAnsi="黑体" w:eastAsia="黑体" w:cs="黑体"/>
          <w:color w:val="auto"/>
          <w:spacing w:val="22"/>
          <w:szCs w:val="35"/>
          <w:highlight w:val="none"/>
        </w:rPr>
        <w:t xml:space="preserve"> </w:t>
      </w:r>
      <w:r>
        <w:rPr>
          <w:rFonts w:ascii="黑体" w:hAnsi="黑体" w:eastAsia="黑体" w:cs="黑体"/>
          <w:bCs/>
          <w:color w:val="auto"/>
          <w:spacing w:val="2"/>
          <w:szCs w:val="35"/>
          <w:highlight w:val="none"/>
        </w:rPr>
        <w:t>响应文件格式</w:t>
      </w:r>
      <w:r>
        <w:rPr>
          <w:color w:val="auto"/>
          <w:highlight w:val="none"/>
        </w:rPr>
        <w:tab/>
      </w:r>
      <w:r>
        <w:rPr>
          <w:color w:val="auto"/>
          <w:highlight w:val="none"/>
        </w:rPr>
        <w:fldChar w:fldCharType="begin"/>
      </w:r>
      <w:r>
        <w:rPr>
          <w:color w:val="auto"/>
          <w:highlight w:val="none"/>
        </w:rPr>
        <w:instrText xml:space="preserve"> PAGEREF _Toc17278 \h </w:instrText>
      </w:r>
      <w:r>
        <w:rPr>
          <w:color w:val="auto"/>
          <w:highlight w:val="none"/>
        </w:rPr>
        <w:fldChar w:fldCharType="separate"/>
      </w:r>
      <w:r>
        <w:rPr>
          <w:color w:val="auto"/>
          <w:highlight w:val="none"/>
        </w:rPr>
        <w:t>32</w:t>
      </w:r>
      <w:r>
        <w:rPr>
          <w:color w:val="auto"/>
          <w:highlight w:val="none"/>
        </w:rPr>
        <w:fldChar w:fldCharType="end"/>
      </w:r>
      <w:r>
        <w:rPr>
          <w:rFonts w:ascii="宋体" w:hAnsi="宋体" w:cs="宋体"/>
          <w:color w:val="auto"/>
          <w:szCs w:val="24"/>
          <w:highlight w:val="none"/>
        </w:rPr>
        <w:fldChar w:fldCharType="end"/>
      </w:r>
    </w:p>
    <w:p w14:paraId="66459364">
      <w:pPr>
        <w:pStyle w:val="40"/>
        <w:tabs>
          <w:tab w:val="right" w:leader="dot" w:pos="9070"/>
        </w:tabs>
        <w:rPr>
          <w:color w:val="auto"/>
          <w:highlight w:val="none"/>
        </w:rPr>
      </w:pPr>
      <w:r>
        <w:rPr>
          <w:rFonts w:ascii="宋体" w:hAnsi="宋体" w:cs="宋体"/>
          <w:color w:val="auto"/>
          <w:szCs w:val="24"/>
          <w:highlight w:val="none"/>
        </w:rPr>
        <w:fldChar w:fldCharType="begin"/>
      </w:r>
      <w:r>
        <w:rPr>
          <w:rFonts w:ascii="宋体" w:hAnsi="宋体" w:cs="宋体"/>
          <w:color w:val="auto"/>
          <w:szCs w:val="24"/>
          <w:highlight w:val="none"/>
        </w:rPr>
        <w:instrText xml:space="preserve"> HYPERLINK \l _Toc21797 </w:instrText>
      </w:r>
      <w:r>
        <w:rPr>
          <w:rFonts w:ascii="宋体" w:hAnsi="宋体" w:cs="宋体"/>
          <w:color w:val="auto"/>
          <w:szCs w:val="24"/>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_Toc21797 \h </w:instrText>
      </w:r>
      <w:r>
        <w:rPr>
          <w:color w:val="auto"/>
          <w:highlight w:val="none"/>
        </w:rPr>
        <w:fldChar w:fldCharType="separate"/>
      </w:r>
      <w:r>
        <w:rPr>
          <w:color w:val="auto"/>
          <w:highlight w:val="none"/>
        </w:rPr>
        <w:t>47</w:t>
      </w:r>
      <w:r>
        <w:rPr>
          <w:color w:val="auto"/>
          <w:highlight w:val="none"/>
        </w:rPr>
        <w:fldChar w:fldCharType="end"/>
      </w:r>
      <w:r>
        <w:rPr>
          <w:rFonts w:ascii="宋体" w:hAnsi="宋体" w:cs="宋体"/>
          <w:color w:val="auto"/>
          <w:szCs w:val="24"/>
          <w:highlight w:val="none"/>
        </w:rPr>
        <w:fldChar w:fldCharType="end"/>
      </w:r>
    </w:p>
    <w:p w14:paraId="2A8F2678">
      <w:pPr>
        <w:spacing w:line="500" w:lineRule="exact"/>
        <w:rPr>
          <w:rFonts w:ascii="宋体" w:cs="宋体"/>
          <w:color w:val="auto"/>
          <w:sz w:val="24"/>
          <w:szCs w:val="24"/>
          <w:highlight w:val="none"/>
        </w:rPr>
      </w:pPr>
      <w:r>
        <w:rPr>
          <w:rFonts w:ascii="宋体" w:hAnsi="宋体" w:cs="宋体"/>
          <w:color w:val="auto"/>
          <w:szCs w:val="24"/>
          <w:highlight w:val="none"/>
        </w:rPr>
        <w:fldChar w:fldCharType="end"/>
      </w:r>
    </w:p>
    <w:p w14:paraId="61930915">
      <w:pPr>
        <w:spacing w:line="480" w:lineRule="exact"/>
        <w:jc w:val="center"/>
        <w:rPr>
          <w:rFonts w:ascii="仿宋_GB2312" w:hAnsi="宋体" w:eastAsia="仿宋_GB2312"/>
          <w:color w:val="auto"/>
          <w:sz w:val="32"/>
          <w:szCs w:val="32"/>
          <w:highlight w:val="none"/>
        </w:rPr>
      </w:pPr>
    </w:p>
    <w:p w14:paraId="679B5DED">
      <w:pPr>
        <w:spacing w:line="480" w:lineRule="exact"/>
        <w:jc w:val="center"/>
        <w:rPr>
          <w:rFonts w:ascii="仿宋_GB2312" w:hAnsi="宋体" w:eastAsia="仿宋_GB2312"/>
          <w:color w:val="auto"/>
          <w:sz w:val="32"/>
          <w:szCs w:val="32"/>
          <w:highlight w:val="none"/>
        </w:rPr>
      </w:pPr>
    </w:p>
    <w:p w14:paraId="23481593">
      <w:pPr>
        <w:spacing w:line="480" w:lineRule="exact"/>
        <w:jc w:val="center"/>
        <w:rPr>
          <w:rFonts w:ascii="仿宋_GB2312" w:hAnsi="宋体" w:eastAsia="仿宋_GB2312"/>
          <w:color w:val="auto"/>
          <w:sz w:val="32"/>
          <w:szCs w:val="32"/>
          <w:highlight w:val="none"/>
        </w:rPr>
      </w:pPr>
    </w:p>
    <w:p w14:paraId="57AD2161">
      <w:pPr>
        <w:pStyle w:val="2"/>
        <w:spacing w:before="48" w:beforeLines="20" w:after="48" w:afterLines="20" w:line="480" w:lineRule="exact"/>
        <w:ind w:firstLine="0" w:firstLineChars="0"/>
        <w:jc w:val="left"/>
        <w:outlineLvl w:val="9"/>
        <w:rPr>
          <w:color w:val="auto"/>
          <w:szCs w:val="21"/>
          <w:highlight w:val="none"/>
        </w:rPr>
        <w:sectPr>
          <w:footerReference r:id="rId5" w:type="default"/>
          <w:pgSz w:w="11906" w:h="16838"/>
          <w:pgMar w:top="1418" w:right="1418" w:bottom="1418" w:left="1418" w:header="851" w:footer="680" w:gutter="0"/>
          <w:pgNumType w:fmt="decimal" w:start="1"/>
          <w:cols w:space="720" w:num="1"/>
          <w:docGrid w:linePitch="290" w:charSpace="0"/>
        </w:sectPr>
      </w:pPr>
      <w:bookmarkStart w:id="21" w:name="_Toc21464"/>
      <w:bookmarkStart w:id="22" w:name="_Toc439316870"/>
    </w:p>
    <w:p w14:paraId="1B955B9F">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23" w:name="_Toc21426"/>
      <w:bookmarkStart w:id="24" w:name="_Toc12276"/>
      <w:bookmarkStart w:id="25" w:name="_Toc14702"/>
      <w:r>
        <w:rPr>
          <w:rFonts w:hint="eastAsia"/>
          <w:color w:val="auto"/>
          <w:kern w:val="2"/>
          <w:sz w:val="32"/>
          <w:szCs w:val="32"/>
          <w:highlight w:val="none"/>
        </w:rPr>
        <w:t>第一章</w:t>
      </w:r>
      <w:r>
        <w:rPr>
          <w:color w:val="auto"/>
          <w:kern w:val="2"/>
          <w:sz w:val="32"/>
          <w:szCs w:val="32"/>
          <w:highlight w:val="none"/>
        </w:rPr>
        <w:t xml:space="preserve">   </w:t>
      </w:r>
      <w:r>
        <w:rPr>
          <w:rFonts w:hint="eastAsia"/>
          <w:color w:val="auto"/>
          <w:kern w:val="2"/>
          <w:sz w:val="32"/>
          <w:szCs w:val="32"/>
          <w:highlight w:val="none"/>
        </w:rPr>
        <w:t>竞争性磋商</w:t>
      </w:r>
      <w:bookmarkEnd w:id="21"/>
      <w:bookmarkEnd w:id="23"/>
      <w:r>
        <w:rPr>
          <w:rFonts w:hint="eastAsia"/>
          <w:color w:val="auto"/>
          <w:kern w:val="2"/>
          <w:sz w:val="32"/>
          <w:szCs w:val="32"/>
          <w:highlight w:val="none"/>
        </w:rPr>
        <w:t>公告</w:t>
      </w:r>
      <w:bookmarkEnd w:id="24"/>
      <w:bookmarkEnd w:id="25"/>
    </w:p>
    <w:p w14:paraId="54630823">
      <w:pPr>
        <w:keepNext/>
        <w:keepLines/>
        <w:tabs>
          <w:tab w:val="left" w:pos="0"/>
        </w:tabs>
        <w:autoSpaceDE w:val="0"/>
        <w:autoSpaceDN w:val="0"/>
        <w:adjustRightInd w:val="0"/>
        <w:spacing w:line="360" w:lineRule="auto"/>
        <w:jc w:val="center"/>
        <w:outlineLvl w:val="1"/>
        <w:rPr>
          <w:rFonts w:ascii="华文中宋" w:hAnsi="华文中宋" w:eastAsia="华文中宋"/>
          <w:b/>
          <w:bCs/>
          <w:color w:val="auto"/>
          <w:kern w:val="44"/>
          <w:sz w:val="32"/>
          <w:szCs w:val="32"/>
          <w:highlight w:val="none"/>
        </w:rPr>
      </w:pPr>
      <w:bookmarkStart w:id="26" w:name="_Toc35393797"/>
      <w:bookmarkStart w:id="27" w:name="_Toc17950"/>
      <w:bookmarkStart w:id="28" w:name="_Toc13705"/>
      <w:bookmarkStart w:id="29" w:name="_Toc30326"/>
      <w:bookmarkStart w:id="30" w:name="_Toc6276"/>
      <w:bookmarkStart w:id="31" w:name="_Toc13525"/>
      <w:bookmarkStart w:id="32" w:name="_Toc28359011"/>
      <w:r>
        <w:rPr>
          <w:rFonts w:hint="eastAsia" w:ascii="宋体" w:hAnsi="宋体" w:cs="宋体"/>
          <w:b/>
          <w:color w:val="auto"/>
          <w:sz w:val="24"/>
          <w:highlight w:val="none"/>
          <w:u w:val="single"/>
          <w:lang w:eastAsia="zh-CN"/>
        </w:rPr>
        <w:t>2024年潜山市中医院艾灸仪、中药熏蒸治疗仪采购项目</w:t>
      </w:r>
      <w:r>
        <w:rPr>
          <w:rFonts w:hint="eastAsia" w:ascii="华文中宋" w:hAnsi="华文中宋" w:eastAsia="华文中宋"/>
          <w:b/>
          <w:bCs/>
          <w:color w:val="auto"/>
          <w:kern w:val="44"/>
          <w:sz w:val="32"/>
          <w:szCs w:val="32"/>
          <w:highlight w:val="none"/>
        </w:rPr>
        <w:t>竞争性磋商公告</w:t>
      </w:r>
      <w:bookmarkEnd w:id="26"/>
      <w:bookmarkEnd w:id="27"/>
      <w:bookmarkEnd w:id="28"/>
      <w:bookmarkEnd w:id="29"/>
      <w:bookmarkEnd w:id="30"/>
      <w:bookmarkEnd w:id="31"/>
      <w:bookmarkEnd w:id="32"/>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14:paraId="6A8B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66C998D4">
            <w:pPr>
              <w:pStyle w:val="419"/>
              <w:spacing w:before="177" w:line="223" w:lineRule="auto"/>
              <w:ind w:left="128"/>
              <w:rPr>
                <w:color w:val="auto"/>
                <w:highlight w:val="none"/>
              </w:rPr>
            </w:pPr>
            <w:r>
              <w:rPr>
                <w:color w:val="auto"/>
                <w:spacing w:val="-5"/>
                <w:highlight w:val="none"/>
              </w:rPr>
              <w:t>项目概况</w:t>
            </w:r>
          </w:p>
          <w:p w14:paraId="772D574E">
            <w:pPr>
              <w:rPr>
                <w:color w:val="auto"/>
                <w:highlight w:val="none"/>
              </w:rPr>
            </w:pPr>
            <w:r>
              <w:rPr>
                <w:rFonts w:hint="eastAsia" w:ascii="仿宋" w:hAnsi="仿宋" w:eastAsia="仿宋"/>
                <w:color w:val="auto"/>
                <w:sz w:val="28"/>
                <w:szCs w:val="28"/>
                <w:highlight w:val="none"/>
                <w:u w:val="single"/>
              </w:rPr>
              <w:t>(</w:t>
            </w:r>
            <w:r>
              <w:rPr>
                <w:rFonts w:hint="eastAsia" w:ascii="宋体" w:hAnsi="宋体" w:cs="宋体"/>
                <w:b/>
                <w:color w:val="auto"/>
                <w:sz w:val="24"/>
                <w:highlight w:val="none"/>
                <w:u w:val="single"/>
                <w:lang w:eastAsia="zh-CN"/>
              </w:rPr>
              <w:t>2024年潜山市中医院艾灸仪、中药熏蒸治疗仪采购项目</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采购项目的潜在供应商应进行报名</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报名成功后领取招标文件及其它资料（含澄清和补充说明等），并于</w:t>
            </w:r>
            <w:r>
              <w:rPr>
                <w:rFonts w:hint="eastAsia" w:ascii="仿宋" w:hAnsi="仿宋" w:eastAsia="仿宋"/>
                <w:b/>
                <w:bCs/>
                <w:color w:val="auto"/>
                <w:sz w:val="28"/>
                <w:szCs w:val="28"/>
                <w:highlight w:val="none"/>
                <w:u w:val="single"/>
              </w:rPr>
              <w:t>202</w:t>
            </w:r>
            <w:r>
              <w:rPr>
                <w:rFonts w:hint="eastAsia" w:ascii="仿宋" w:hAnsi="仿宋" w:eastAsia="仿宋"/>
                <w:b/>
                <w:bCs/>
                <w:color w:val="auto"/>
                <w:sz w:val="28"/>
                <w:szCs w:val="28"/>
                <w:highlight w:val="none"/>
                <w:u w:val="single"/>
                <w:lang w:val="en-US" w:eastAsia="zh-CN"/>
              </w:rPr>
              <w:t>4</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10</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 xml:space="preserve">28 </w:t>
            </w:r>
            <w:bookmarkStart w:id="485" w:name="_GoBack"/>
            <w:bookmarkEnd w:id="485"/>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color w:val="auto"/>
                <w:sz w:val="28"/>
                <w:szCs w:val="28"/>
                <w:highlight w:val="none"/>
              </w:rPr>
              <w:t>（北京时间）前递交投标文件。</w:t>
            </w:r>
          </w:p>
        </w:tc>
      </w:tr>
    </w:tbl>
    <w:p w14:paraId="4B998F23">
      <w:pPr>
        <w:rPr>
          <w:color w:val="auto"/>
          <w:szCs w:val="21"/>
          <w:highlight w:val="none"/>
        </w:rPr>
      </w:pPr>
    </w:p>
    <w:p w14:paraId="58DD15D6">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33" w:name="_Toc22639"/>
      <w:bookmarkStart w:id="34" w:name="_Toc17589"/>
      <w:bookmarkStart w:id="35" w:name="_Toc7373"/>
      <w:bookmarkStart w:id="36" w:name="_Toc28359012"/>
      <w:bookmarkStart w:id="37" w:name="_Toc35393798"/>
      <w:bookmarkStart w:id="38" w:name="_Toc35393629"/>
      <w:bookmarkStart w:id="39" w:name="_Toc24486"/>
      <w:bookmarkStart w:id="40" w:name="_Toc28359089"/>
      <w:r>
        <w:rPr>
          <w:rFonts w:hint="eastAsia" w:ascii="黑体" w:hAnsi="黑体" w:eastAsia="黑体" w:cs="宋体"/>
          <w:bCs/>
          <w:color w:val="auto"/>
          <w:sz w:val="28"/>
          <w:szCs w:val="28"/>
          <w:highlight w:val="none"/>
        </w:rPr>
        <w:t>一、项目基本情况</w:t>
      </w:r>
      <w:bookmarkEnd w:id="33"/>
      <w:bookmarkEnd w:id="34"/>
      <w:bookmarkEnd w:id="35"/>
      <w:bookmarkEnd w:id="36"/>
      <w:bookmarkEnd w:id="37"/>
      <w:bookmarkEnd w:id="38"/>
      <w:bookmarkEnd w:id="39"/>
      <w:bookmarkEnd w:id="40"/>
    </w:p>
    <w:p w14:paraId="47C7FD56">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eastAsiaTheme="minorEastAsia"/>
          <w:b/>
          <w:color w:val="auto"/>
          <w:sz w:val="24"/>
          <w:highlight w:val="none"/>
          <w:lang w:eastAsia="zh-CN"/>
        </w:rPr>
        <w:t>皖TJ-CG24050</w:t>
      </w:r>
    </w:p>
    <w:p w14:paraId="6AA954EF">
      <w:pPr>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宋体" w:hAnsi="宋体" w:cs="宋体"/>
          <w:b/>
          <w:color w:val="auto"/>
          <w:sz w:val="24"/>
          <w:highlight w:val="none"/>
          <w:u w:val="single"/>
          <w:lang w:eastAsia="zh-CN"/>
        </w:rPr>
        <w:t>2024年潜山市中医院艾灸仪、中药熏蒸治疗仪采购项目</w:t>
      </w:r>
    </w:p>
    <w:p w14:paraId="6FE0E196">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采购方式：</w:t>
      </w:r>
      <w:r>
        <w:rPr>
          <w:rFonts w:hint="eastAsia" w:ascii="仿宋" w:hAnsi="仿宋" w:eastAsia="仿宋" w:cs="仿宋"/>
          <w:color w:val="auto"/>
          <w:sz w:val="28"/>
          <w:szCs w:val="28"/>
          <w:highlight w:val="none"/>
        </w:rPr>
        <w:t>竞争性磋商</w:t>
      </w:r>
    </w:p>
    <w:p w14:paraId="27382DA6">
      <w:pPr>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资金来源：</w:t>
      </w:r>
      <w:r>
        <w:rPr>
          <w:rFonts w:hint="eastAsia" w:ascii="仿宋" w:hAnsi="仿宋" w:eastAsia="仿宋"/>
          <w:color w:val="auto"/>
          <w:sz w:val="28"/>
          <w:szCs w:val="28"/>
          <w:highlight w:val="none"/>
          <w:lang w:val="en-US" w:eastAsia="zh-CN"/>
        </w:rPr>
        <w:t>自筹</w:t>
      </w:r>
    </w:p>
    <w:p w14:paraId="15903BEC">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投标限价</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70000.00元</w:t>
      </w:r>
    </w:p>
    <w:p w14:paraId="59748060">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采购2台艾灸仪，2台中药熏蒸治疗仪</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 xml:space="preserve"> </w:t>
      </w:r>
    </w:p>
    <w:p w14:paraId="1D06039A">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标段（包别）划分：</w:t>
      </w:r>
      <w:r>
        <w:rPr>
          <w:rFonts w:hint="eastAsia" w:ascii="仿宋" w:hAnsi="仿宋" w:eastAsia="仿宋"/>
          <w:color w:val="auto"/>
          <w:sz w:val="28"/>
          <w:szCs w:val="28"/>
          <w:highlight w:val="none"/>
          <w:lang w:val="en-US" w:eastAsia="zh-CN"/>
        </w:rPr>
        <w:t>/</w:t>
      </w:r>
    </w:p>
    <w:p w14:paraId="4B0CE56B">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评标办法：</w:t>
      </w:r>
      <w:r>
        <w:rPr>
          <w:rFonts w:hint="eastAsia" w:ascii="仿宋" w:hAnsi="仿宋" w:eastAsia="仿宋"/>
          <w:color w:val="auto"/>
          <w:sz w:val="28"/>
          <w:szCs w:val="28"/>
          <w:highlight w:val="none"/>
          <w:lang w:val="en-US" w:eastAsia="zh-CN"/>
        </w:rPr>
        <w:t>综合评分法</w:t>
      </w:r>
    </w:p>
    <w:p w14:paraId="6C057479">
      <w:pPr>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合同履行期限：自合同签订之日起</w:t>
      </w:r>
      <w:r>
        <w:rPr>
          <w:rFonts w:hint="eastAsia" w:ascii="仿宋" w:hAnsi="仿宋" w:eastAsia="仿宋"/>
          <w:color w:val="auto"/>
          <w:sz w:val="28"/>
          <w:szCs w:val="28"/>
          <w:highlight w:val="none"/>
          <w:lang w:val="en-US" w:eastAsia="zh-CN"/>
        </w:rPr>
        <w:t>30日历天</w:t>
      </w:r>
      <w:r>
        <w:rPr>
          <w:rFonts w:hint="eastAsia" w:ascii="仿宋" w:hAnsi="仿宋" w:eastAsia="仿宋"/>
          <w:color w:val="auto"/>
          <w:sz w:val="28"/>
          <w:szCs w:val="28"/>
          <w:highlight w:val="none"/>
          <w:lang w:eastAsia="zh-CN"/>
        </w:rPr>
        <w:t>。</w:t>
      </w:r>
    </w:p>
    <w:p w14:paraId="3BEB3A43">
      <w:pPr>
        <w:spacing w:line="360" w:lineRule="auto"/>
        <w:ind w:firstLine="560" w:firstLineChars="200"/>
        <w:rPr>
          <w:rFonts w:ascii="仿宋" w:hAnsi="仿宋" w:eastAsia="仿宋"/>
          <w:i/>
          <w:iCs/>
          <w:color w:val="auto"/>
          <w:sz w:val="28"/>
          <w:szCs w:val="28"/>
          <w:highlight w:val="none"/>
          <w:u w:val="single"/>
        </w:rPr>
      </w:pPr>
      <w:r>
        <w:rPr>
          <w:rFonts w:hint="eastAsia" w:ascii="仿宋" w:hAnsi="仿宋" w:eastAsia="仿宋"/>
          <w:color w:val="auto"/>
          <w:sz w:val="28"/>
          <w:szCs w:val="28"/>
          <w:highlight w:val="none"/>
        </w:rPr>
        <w:t>本项目不接受联合体。</w:t>
      </w:r>
    </w:p>
    <w:p w14:paraId="179883F0">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41" w:name="_Toc35393630"/>
      <w:bookmarkStart w:id="42" w:name="_Toc35393799"/>
      <w:bookmarkStart w:id="43" w:name="_Toc28359090"/>
      <w:bookmarkStart w:id="44" w:name="_Toc10254"/>
      <w:bookmarkStart w:id="45" w:name="_Toc21742"/>
      <w:bookmarkStart w:id="46" w:name="_Toc28359013"/>
      <w:bookmarkStart w:id="47" w:name="_Toc28499"/>
      <w:bookmarkStart w:id="48" w:name="_Toc16001"/>
      <w:r>
        <w:rPr>
          <w:rFonts w:hint="eastAsia" w:ascii="黑体" w:hAnsi="黑体" w:eastAsia="黑体" w:cs="宋体"/>
          <w:bCs/>
          <w:color w:val="auto"/>
          <w:sz w:val="28"/>
          <w:szCs w:val="28"/>
          <w:highlight w:val="none"/>
        </w:rPr>
        <w:t>二、申请人的资格要求：</w:t>
      </w:r>
      <w:bookmarkEnd w:id="41"/>
      <w:bookmarkEnd w:id="42"/>
      <w:bookmarkEnd w:id="43"/>
      <w:bookmarkEnd w:id="44"/>
      <w:bookmarkEnd w:id="45"/>
      <w:bookmarkEnd w:id="46"/>
      <w:bookmarkEnd w:id="47"/>
      <w:bookmarkEnd w:id="48"/>
    </w:p>
    <w:p w14:paraId="5B191B18">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1.满足《中华人民共和国政府采购法》第二十二条规定；</w:t>
      </w:r>
    </w:p>
    <w:p w14:paraId="00AEC97F">
      <w:pPr>
        <w:ind w:firstLine="560" w:firstLineChars="200"/>
        <w:rPr>
          <w:rFonts w:hint="eastAsia" w:ascii="仿宋" w:hAnsi="仿宋" w:eastAsia="仿宋"/>
          <w:color w:val="auto"/>
          <w:sz w:val="28"/>
          <w:szCs w:val="28"/>
          <w:highlight w:val="none"/>
        </w:rPr>
      </w:pPr>
      <w:bookmarkStart w:id="49" w:name="_Toc28359091"/>
      <w:bookmarkStart w:id="50" w:name="_Toc28359014"/>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.落实政府采购政策需满足的资格要求：1.</w:t>
      </w:r>
      <w:r>
        <w:rPr>
          <w:rFonts w:hint="eastAsia" w:ascii="仿宋" w:hAnsi="仿宋" w:eastAsia="仿宋"/>
          <w:color w:val="auto"/>
          <w:sz w:val="28"/>
          <w:szCs w:val="28"/>
          <w:highlight w:val="none"/>
          <w:lang w:val="en-US" w:eastAsia="zh-CN"/>
        </w:rPr>
        <w:t>本项目</w:t>
      </w:r>
      <w:r>
        <w:rPr>
          <w:rFonts w:hint="eastAsia" w:ascii="仿宋" w:hAnsi="仿宋" w:eastAsia="仿宋"/>
          <w:color w:val="auto"/>
          <w:sz w:val="28"/>
          <w:szCs w:val="28"/>
          <w:highlight w:val="none"/>
        </w:rPr>
        <w:t>专门面向中小企业。</w:t>
      </w:r>
    </w:p>
    <w:p w14:paraId="28287321">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val="en-US" w:eastAsia="zh-CN"/>
        </w:rPr>
        <w:t>供应商必须具有合法有效的营业执照，营业执照注明的经营范围含有本次采购相关内容。</w:t>
      </w:r>
    </w:p>
    <w:p w14:paraId="401A6639">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51" w:name="_Toc35393800"/>
      <w:bookmarkStart w:id="52" w:name="_Toc6247"/>
      <w:bookmarkStart w:id="53" w:name="_Toc35393631"/>
      <w:bookmarkStart w:id="54" w:name="_Toc1263"/>
      <w:bookmarkStart w:id="55" w:name="_Toc3625"/>
      <w:bookmarkStart w:id="56" w:name="_Toc21547"/>
      <w:r>
        <w:rPr>
          <w:rFonts w:hint="eastAsia" w:ascii="黑体" w:hAnsi="黑体" w:eastAsia="黑体" w:cs="宋体"/>
          <w:bCs/>
          <w:color w:val="auto"/>
          <w:sz w:val="28"/>
          <w:szCs w:val="28"/>
          <w:highlight w:val="none"/>
        </w:rPr>
        <w:t>三、获取采购文件</w:t>
      </w:r>
      <w:bookmarkEnd w:id="49"/>
      <w:bookmarkEnd w:id="50"/>
      <w:bookmarkEnd w:id="51"/>
      <w:bookmarkEnd w:id="52"/>
      <w:bookmarkEnd w:id="53"/>
      <w:bookmarkEnd w:id="54"/>
      <w:bookmarkEnd w:id="55"/>
      <w:bookmarkEnd w:id="56"/>
    </w:p>
    <w:p w14:paraId="5C80F4C2">
      <w:pPr>
        <w:pageBreakBefore w:val="0"/>
        <w:widowControl w:val="0"/>
        <w:kinsoku/>
        <w:wordWrap/>
        <w:overflowPunct/>
        <w:topLinePunct w:val="0"/>
        <w:autoSpaceDE/>
        <w:autoSpaceDN/>
        <w:bidi w:val="0"/>
        <w:adjustRightInd/>
        <w:snapToGrid/>
        <w:spacing w:line="240" w:lineRule="auto"/>
        <w:ind w:firstLine="565" w:firstLineChars="202"/>
        <w:textAlignment w:val="auto"/>
        <w:rPr>
          <w:rFonts w:ascii="仿宋" w:hAnsi="仿宋" w:eastAsia="仿宋" w:cs="宋体"/>
          <w:color w:val="auto"/>
          <w:sz w:val="28"/>
          <w:szCs w:val="28"/>
          <w:highlight w:val="none"/>
        </w:rPr>
      </w:pPr>
      <w:bookmarkStart w:id="57" w:name="_Toc35393632"/>
      <w:bookmarkStart w:id="58" w:name="_Toc28359015"/>
      <w:bookmarkStart w:id="59" w:name="_Toc35393801"/>
      <w:bookmarkStart w:id="60" w:name="_Toc28359092"/>
      <w:r>
        <w:rPr>
          <w:rFonts w:hint="eastAsia" w:ascii="仿宋" w:hAnsi="仿宋" w:eastAsia="仿宋" w:cs="宋体"/>
          <w:color w:val="auto"/>
          <w:sz w:val="28"/>
          <w:szCs w:val="28"/>
          <w:highlight w:val="none"/>
        </w:rPr>
        <w:t>时间：</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17</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至</w:t>
      </w:r>
      <w:r>
        <w:rPr>
          <w:rFonts w:hint="eastAsia" w:ascii="仿宋" w:hAnsi="仿宋" w:eastAsia="仿宋" w:cs="宋体"/>
          <w:color w:val="auto"/>
          <w:sz w:val="28"/>
          <w:szCs w:val="28"/>
          <w:highlight w:val="none"/>
          <w:u w:val="single"/>
          <w:lang w:val="en-US" w:eastAsia="zh-CN"/>
        </w:rPr>
        <w:t>2024</w:t>
      </w:r>
      <w:r>
        <w:rPr>
          <w:rFonts w:hint="eastAsia" w:ascii="仿宋" w:hAnsi="仿宋" w:eastAsia="仿宋" w:cs="宋体"/>
          <w:color w:val="auto"/>
          <w:sz w:val="28"/>
          <w:szCs w:val="28"/>
          <w:highlight w:val="none"/>
          <w:u w:val="single"/>
        </w:rPr>
        <w:t>年</w:t>
      </w:r>
      <w:r>
        <w:rPr>
          <w:rFonts w:hint="eastAsia" w:ascii="仿宋" w:hAnsi="仿宋" w:eastAsia="仿宋" w:cs="宋体"/>
          <w:color w:val="auto"/>
          <w:sz w:val="28"/>
          <w:szCs w:val="28"/>
          <w:highlight w:val="none"/>
          <w:u w:val="single"/>
          <w:lang w:val="en-US" w:eastAsia="zh-CN"/>
        </w:rPr>
        <w:t>10</w:t>
      </w:r>
      <w:r>
        <w:rPr>
          <w:rFonts w:hint="eastAsia" w:ascii="仿宋" w:hAnsi="仿宋" w:eastAsia="仿宋" w:cs="宋体"/>
          <w:color w:val="auto"/>
          <w:sz w:val="28"/>
          <w:szCs w:val="28"/>
          <w:highlight w:val="none"/>
          <w:u w:val="single"/>
        </w:rPr>
        <w:t>月</w:t>
      </w:r>
      <w:r>
        <w:rPr>
          <w:rFonts w:hint="eastAsia" w:ascii="仿宋" w:hAnsi="仿宋" w:eastAsia="仿宋" w:cs="宋体"/>
          <w:color w:val="auto"/>
          <w:sz w:val="28"/>
          <w:szCs w:val="28"/>
          <w:highlight w:val="none"/>
          <w:u w:val="single"/>
          <w:lang w:val="en-US" w:eastAsia="zh-CN"/>
        </w:rPr>
        <w:t>24</w:t>
      </w:r>
      <w:r>
        <w:rPr>
          <w:rFonts w:hint="eastAsia" w:ascii="仿宋" w:hAnsi="仿宋" w:eastAsia="仿宋" w:cs="宋体"/>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45A37BFA">
      <w:pPr>
        <w:pageBreakBefore w:val="0"/>
        <w:widowControl w:val="0"/>
        <w:kinsoku/>
        <w:wordWrap/>
        <w:overflowPunct/>
        <w:topLinePunct w:val="0"/>
        <w:autoSpaceDE/>
        <w:autoSpaceDN/>
        <w:bidi w:val="0"/>
        <w:adjustRightInd/>
        <w:snapToGrid/>
        <w:spacing w:line="240" w:lineRule="auto"/>
        <w:ind w:firstLine="565" w:firstLineChars="202"/>
        <w:textAlignment w:val="auto"/>
        <w:outlineLvl w:val="2"/>
        <w:rPr>
          <w:rFonts w:hint="eastAsia" w:ascii="仿宋" w:hAnsi="仿宋" w:eastAsia="仿宋" w:cs="宋体"/>
          <w:color w:val="auto"/>
          <w:sz w:val="28"/>
          <w:szCs w:val="28"/>
          <w:highlight w:val="none"/>
        </w:rPr>
      </w:pPr>
      <w:bookmarkStart w:id="61" w:name="_Toc23941"/>
      <w:bookmarkStart w:id="62" w:name="_Toc20370"/>
      <w:bookmarkStart w:id="63" w:name="_Toc11462"/>
      <w:bookmarkStart w:id="64" w:name="_Toc5760"/>
      <w:r>
        <w:rPr>
          <w:rFonts w:hint="eastAsia" w:ascii="仿宋" w:hAnsi="仿宋" w:eastAsia="仿宋" w:cs="宋体"/>
          <w:color w:val="auto"/>
          <w:sz w:val="28"/>
          <w:szCs w:val="28"/>
          <w:highlight w:val="none"/>
        </w:rPr>
        <w:t>2、地点：潜山市开发区八一大道与三合路交叉口1幢1号</w:t>
      </w:r>
      <w:bookmarkEnd w:id="61"/>
      <w:bookmarkEnd w:id="62"/>
      <w:bookmarkEnd w:id="63"/>
      <w:bookmarkEnd w:id="64"/>
    </w:p>
    <w:p w14:paraId="13797FAB">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3、方式：经办人持报名资料（企业营业执照、法定代表人身份证明或授权委托书、经办人身份证复印件）购买招标文件，逾期拒绝办理（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1EB350F6">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4、售价：招标文件及相关资料工本费：人民币 0元/套，售后不退。（开户行名称： 中国建设银行潜山支行，账户名称：安徽泰杰工程咨询有限公司，账号：34050168430800000493，备注注明：供应商名称、</w:t>
      </w:r>
      <w:r>
        <w:rPr>
          <w:rFonts w:hint="eastAsia" w:ascii="仿宋" w:hAnsi="仿宋" w:eastAsia="仿宋" w:cs="宋体"/>
          <w:color w:val="auto"/>
          <w:sz w:val="28"/>
          <w:szCs w:val="28"/>
          <w:highlight w:val="none"/>
          <w:lang w:eastAsia="zh-CN"/>
        </w:rPr>
        <w:t>2024年潜山市中医院艾灸仪、中药熏蒸治疗仪采购项目</w:t>
      </w:r>
      <w:r>
        <w:rPr>
          <w:rFonts w:hint="eastAsia" w:ascii="仿宋" w:hAnsi="仿宋" w:eastAsia="仿宋" w:cs="宋体"/>
          <w:color w:val="auto"/>
          <w:sz w:val="28"/>
          <w:szCs w:val="28"/>
          <w:highlight w:val="none"/>
        </w:rPr>
        <w:t>工本费）</w:t>
      </w:r>
    </w:p>
    <w:p w14:paraId="15751B6A">
      <w:pPr>
        <w:keepNext/>
        <w:keepLines/>
        <w:spacing w:before="260" w:after="260" w:line="240" w:lineRule="auto"/>
        <w:outlineLvl w:val="1"/>
        <w:rPr>
          <w:rFonts w:ascii="黑体" w:hAnsi="黑体" w:eastAsia="黑体" w:cs="宋体"/>
          <w:bCs/>
          <w:color w:val="auto"/>
          <w:sz w:val="28"/>
          <w:szCs w:val="28"/>
          <w:highlight w:val="none"/>
        </w:rPr>
      </w:pPr>
      <w:bookmarkStart w:id="65" w:name="_Toc21699"/>
      <w:bookmarkStart w:id="66" w:name="_Toc4790"/>
      <w:bookmarkStart w:id="67" w:name="_Toc5083"/>
      <w:bookmarkStart w:id="68" w:name="_Toc25114"/>
      <w:r>
        <w:rPr>
          <w:rFonts w:hint="eastAsia" w:ascii="黑体" w:hAnsi="黑体" w:eastAsia="黑体" w:cs="宋体"/>
          <w:bCs/>
          <w:color w:val="auto"/>
          <w:sz w:val="28"/>
          <w:szCs w:val="28"/>
          <w:highlight w:val="none"/>
        </w:rPr>
        <w:t>四、响应文件提交</w:t>
      </w:r>
      <w:bookmarkEnd w:id="57"/>
      <w:bookmarkEnd w:id="58"/>
      <w:bookmarkEnd w:id="59"/>
      <w:bookmarkEnd w:id="60"/>
      <w:bookmarkEnd w:id="65"/>
      <w:bookmarkEnd w:id="66"/>
      <w:bookmarkEnd w:id="67"/>
      <w:bookmarkEnd w:id="68"/>
    </w:p>
    <w:p w14:paraId="61FEC777">
      <w:pPr>
        <w:spacing w:line="240" w:lineRule="auto"/>
        <w:ind w:firstLine="565" w:firstLineChars="202"/>
        <w:rPr>
          <w:rFonts w:ascii="仿宋" w:hAnsi="仿宋" w:eastAsia="仿宋"/>
          <w:bCs/>
          <w:color w:val="auto"/>
          <w:sz w:val="28"/>
          <w:szCs w:val="28"/>
          <w:highlight w:val="none"/>
          <w:u w:val="single"/>
        </w:rPr>
      </w:pPr>
      <w:bookmarkStart w:id="69" w:name="_Toc35393633"/>
      <w:bookmarkStart w:id="70" w:name="_Toc28359093"/>
      <w:bookmarkStart w:id="71" w:name="_Toc28359016"/>
      <w:bookmarkStart w:id="72" w:name="_Toc35393802"/>
      <w:r>
        <w:rPr>
          <w:rFonts w:hint="eastAsia" w:ascii="仿宋" w:hAnsi="仿宋" w:eastAsia="仿宋"/>
          <w:color w:val="auto"/>
          <w:sz w:val="28"/>
          <w:szCs w:val="28"/>
          <w:highlight w:val="none"/>
        </w:rPr>
        <w:t>截止时间：</w:t>
      </w:r>
      <w:r>
        <w:rPr>
          <w:rFonts w:hint="eastAsia" w:ascii="仿宋" w:hAnsi="仿宋" w:eastAsia="仿宋"/>
          <w:b/>
          <w:bCs/>
          <w:color w:val="auto"/>
          <w:sz w:val="28"/>
          <w:szCs w:val="28"/>
          <w:highlight w:val="none"/>
          <w:u w:val="single"/>
        </w:rPr>
        <w:t>202</w:t>
      </w:r>
      <w:r>
        <w:rPr>
          <w:rFonts w:hint="eastAsia" w:ascii="仿宋" w:hAnsi="仿宋" w:eastAsia="仿宋"/>
          <w:b/>
          <w:bCs/>
          <w:color w:val="auto"/>
          <w:sz w:val="28"/>
          <w:szCs w:val="28"/>
          <w:highlight w:val="none"/>
          <w:u w:val="single"/>
          <w:lang w:val="en-US" w:eastAsia="zh-CN"/>
        </w:rPr>
        <w:t>4</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10</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28</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bCs/>
          <w:color w:val="auto"/>
          <w:sz w:val="28"/>
          <w:szCs w:val="28"/>
          <w:highlight w:val="none"/>
        </w:rPr>
        <w:t>（北京时间）</w:t>
      </w:r>
    </w:p>
    <w:p w14:paraId="77E690E0">
      <w:pPr>
        <w:spacing w:line="240" w:lineRule="auto"/>
        <w:ind w:firstLine="565" w:firstLineChars="202"/>
        <w:rPr>
          <w:rFonts w:ascii="仿宋" w:hAnsi="仿宋" w:eastAsia="仿宋"/>
          <w:bCs/>
          <w:color w:val="auto"/>
          <w:sz w:val="28"/>
          <w:szCs w:val="28"/>
          <w:highlight w:val="none"/>
          <w:u w:val="single"/>
        </w:rPr>
      </w:pPr>
      <w:r>
        <w:rPr>
          <w:rFonts w:hint="eastAsia" w:ascii="仿宋" w:hAnsi="仿宋" w:eastAsia="仿宋" w:cs="宋体"/>
          <w:color w:val="auto"/>
          <w:sz w:val="28"/>
          <w:szCs w:val="28"/>
          <w:highlight w:val="none"/>
        </w:rPr>
        <w:t>地点：潜山市开发区八一大道与三合路交叉口1幢1号</w:t>
      </w:r>
    </w:p>
    <w:p w14:paraId="3E0FCEC1">
      <w:pPr>
        <w:keepNext/>
        <w:keepLines/>
        <w:spacing w:before="260" w:after="260" w:line="360" w:lineRule="auto"/>
        <w:outlineLvl w:val="1"/>
        <w:rPr>
          <w:rFonts w:ascii="黑体" w:hAnsi="黑体" w:eastAsia="黑体" w:cs="宋体"/>
          <w:bCs/>
          <w:color w:val="auto"/>
          <w:sz w:val="28"/>
          <w:szCs w:val="28"/>
          <w:highlight w:val="none"/>
        </w:rPr>
      </w:pPr>
      <w:bookmarkStart w:id="73" w:name="_Toc25223"/>
      <w:bookmarkStart w:id="74" w:name="_Toc321"/>
      <w:bookmarkStart w:id="75" w:name="_Toc11894"/>
      <w:bookmarkStart w:id="76" w:name="_Toc11637"/>
      <w:r>
        <w:rPr>
          <w:rFonts w:hint="eastAsia" w:ascii="黑体" w:hAnsi="黑体" w:eastAsia="黑体" w:cs="宋体"/>
          <w:bCs/>
          <w:color w:val="auto"/>
          <w:sz w:val="28"/>
          <w:szCs w:val="28"/>
          <w:highlight w:val="none"/>
        </w:rPr>
        <w:t>五、开启</w:t>
      </w:r>
      <w:bookmarkEnd w:id="69"/>
      <w:bookmarkEnd w:id="70"/>
      <w:bookmarkEnd w:id="71"/>
      <w:bookmarkEnd w:id="72"/>
      <w:bookmarkEnd w:id="73"/>
      <w:bookmarkEnd w:id="74"/>
      <w:bookmarkEnd w:id="75"/>
      <w:bookmarkEnd w:id="76"/>
    </w:p>
    <w:p w14:paraId="1BE065AD">
      <w:pPr>
        <w:ind w:firstLine="565" w:firstLineChars="202"/>
        <w:rPr>
          <w:rFonts w:ascii="仿宋" w:hAnsi="仿宋" w:eastAsia="仿宋"/>
          <w:bCs/>
          <w:color w:val="auto"/>
          <w:sz w:val="28"/>
          <w:szCs w:val="28"/>
          <w:highlight w:val="none"/>
          <w:u w:val="single"/>
        </w:rPr>
      </w:pPr>
      <w:bookmarkStart w:id="77" w:name="_Toc28359094"/>
      <w:bookmarkStart w:id="78" w:name="_Toc35393803"/>
      <w:bookmarkStart w:id="79" w:name="_Toc35393634"/>
      <w:bookmarkStart w:id="80" w:name="_Toc28359017"/>
      <w:r>
        <w:rPr>
          <w:rFonts w:hint="eastAsia" w:ascii="仿宋" w:hAnsi="仿宋" w:eastAsia="仿宋"/>
          <w:color w:val="auto"/>
          <w:sz w:val="28"/>
          <w:szCs w:val="28"/>
          <w:highlight w:val="none"/>
        </w:rPr>
        <w:t>截止时间：</w:t>
      </w:r>
      <w:r>
        <w:rPr>
          <w:rFonts w:hint="eastAsia" w:ascii="仿宋" w:hAnsi="仿宋" w:eastAsia="仿宋"/>
          <w:b/>
          <w:bCs/>
          <w:color w:val="auto"/>
          <w:sz w:val="28"/>
          <w:szCs w:val="28"/>
          <w:highlight w:val="none"/>
          <w:u w:val="single"/>
        </w:rPr>
        <w:t>202</w:t>
      </w:r>
      <w:r>
        <w:rPr>
          <w:rFonts w:hint="eastAsia" w:ascii="仿宋" w:hAnsi="仿宋" w:eastAsia="仿宋"/>
          <w:b/>
          <w:bCs/>
          <w:color w:val="auto"/>
          <w:sz w:val="28"/>
          <w:szCs w:val="28"/>
          <w:highlight w:val="none"/>
          <w:u w:val="single"/>
          <w:lang w:val="en-US" w:eastAsia="zh-CN"/>
        </w:rPr>
        <w:t>4</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10</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28</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bCs/>
          <w:color w:val="auto"/>
          <w:sz w:val="28"/>
          <w:szCs w:val="28"/>
          <w:highlight w:val="none"/>
        </w:rPr>
        <w:t>（北京时间）</w:t>
      </w:r>
    </w:p>
    <w:p w14:paraId="3B09A85E">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s="宋体"/>
          <w:color w:val="auto"/>
          <w:sz w:val="28"/>
          <w:szCs w:val="28"/>
          <w:highlight w:val="none"/>
        </w:rPr>
        <w:t>潜山市开发区八一大道与三合路交叉口1幢1号</w:t>
      </w:r>
    </w:p>
    <w:p w14:paraId="591D62AB">
      <w:pPr>
        <w:keepNext/>
        <w:keepLines/>
        <w:spacing w:before="260" w:after="260" w:line="240" w:lineRule="auto"/>
        <w:outlineLvl w:val="1"/>
        <w:rPr>
          <w:rFonts w:ascii="黑体" w:hAnsi="黑体" w:eastAsia="黑体" w:cs="宋体"/>
          <w:bCs/>
          <w:color w:val="auto"/>
          <w:sz w:val="28"/>
          <w:szCs w:val="28"/>
          <w:highlight w:val="none"/>
        </w:rPr>
      </w:pPr>
      <w:bookmarkStart w:id="81" w:name="_Toc25436"/>
      <w:bookmarkStart w:id="82" w:name="_Toc18167"/>
      <w:bookmarkStart w:id="83" w:name="_Toc25552"/>
      <w:bookmarkStart w:id="84" w:name="_Toc22876"/>
      <w:r>
        <w:rPr>
          <w:rFonts w:hint="eastAsia" w:ascii="黑体" w:hAnsi="黑体" w:eastAsia="黑体" w:cs="宋体"/>
          <w:bCs/>
          <w:color w:val="auto"/>
          <w:sz w:val="28"/>
          <w:szCs w:val="28"/>
          <w:highlight w:val="none"/>
        </w:rPr>
        <w:t>六、公告期限</w:t>
      </w:r>
      <w:bookmarkEnd w:id="77"/>
      <w:bookmarkEnd w:id="78"/>
      <w:bookmarkEnd w:id="79"/>
      <w:bookmarkEnd w:id="80"/>
      <w:bookmarkEnd w:id="81"/>
      <w:bookmarkEnd w:id="82"/>
      <w:bookmarkEnd w:id="83"/>
      <w:bookmarkEnd w:id="84"/>
    </w:p>
    <w:p w14:paraId="724EB62C">
      <w:pPr>
        <w:spacing w:line="240" w:lineRule="auto"/>
        <w:ind w:firstLine="560" w:firstLineChars="20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ascii="仿宋" w:hAnsi="仿宋" w:eastAsia="仿宋" w:cs="宋体"/>
          <w:color w:val="auto"/>
          <w:kern w:val="0"/>
          <w:sz w:val="28"/>
          <w:szCs w:val="28"/>
          <w:highlight w:val="none"/>
        </w:rPr>
        <w:t>5</w:t>
      </w:r>
      <w:r>
        <w:rPr>
          <w:rFonts w:hint="eastAsia" w:ascii="仿宋" w:hAnsi="仿宋" w:eastAsia="仿宋" w:cs="宋体"/>
          <w:color w:val="auto"/>
          <w:kern w:val="0"/>
          <w:sz w:val="28"/>
          <w:szCs w:val="28"/>
          <w:highlight w:val="none"/>
        </w:rPr>
        <w:t>个工作日。</w:t>
      </w:r>
    </w:p>
    <w:p w14:paraId="4A66DF51">
      <w:pPr>
        <w:keepNext/>
        <w:keepLines/>
        <w:spacing w:before="260" w:after="260" w:line="240" w:lineRule="auto"/>
        <w:outlineLvl w:val="1"/>
        <w:rPr>
          <w:rFonts w:ascii="黑体" w:hAnsi="黑体" w:eastAsia="黑体" w:cs="宋体"/>
          <w:bCs/>
          <w:color w:val="auto"/>
          <w:sz w:val="28"/>
          <w:szCs w:val="28"/>
          <w:highlight w:val="none"/>
        </w:rPr>
      </w:pPr>
      <w:bookmarkStart w:id="85" w:name="_Toc35393804"/>
      <w:bookmarkStart w:id="86" w:name="_Toc28184"/>
      <w:bookmarkStart w:id="87" w:name="_Toc35393635"/>
      <w:bookmarkStart w:id="88" w:name="_Toc25778"/>
      <w:bookmarkStart w:id="89" w:name="_Toc10266"/>
      <w:bookmarkStart w:id="90" w:name="_Toc10341"/>
      <w:r>
        <w:rPr>
          <w:rFonts w:hint="eastAsia" w:ascii="黑体" w:hAnsi="黑体" w:eastAsia="黑体" w:cs="宋体"/>
          <w:bCs/>
          <w:color w:val="auto"/>
          <w:sz w:val="28"/>
          <w:szCs w:val="28"/>
          <w:highlight w:val="none"/>
        </w:rPr>
        <w:t>七、其他补充事宜</w:t>
      </w:r>
      <w:bookmarkEnd w:id="85"/>
      <w:bookmarkEnd w:id="86"/>
      <w:bookmarkEnd w:id="87"/>
      <w:bookmarkEnd w:id="88"/>
      <w:bookmarkEnd w:id="89"/>
      <w:bookmarkEnd w:id="90"/>
    </w:p>
    <w:p w14:paraId="372AFDFD">
      <w:pPr>
        <w:spacing w:line="240" w:lineRule="auto"/>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77D4DC82">
      <w:pPr>
        <w:spacing w:line="240" w:lineRule="auto"/>
        <w:ind w:firstLine="565" w:firstLineChars="202"/>
        <w:outlineLvl w:val="2"/>
        <w:rPr>
          <w:rFonts w:hint="eastAsia" w:ascii="仿宋" w:hAnsi="仿宋" w:eastAsia="仿宋"/>
          <w:color w:val="auto"/>
          <w:sz w:val="28"/>
          <w:szCs w:val="28"/>
          <w:highlight w:val="none"/>
        </w:rPr>
      </w:pPr>
      <w:bookmarkStart w:id="91" w:name="_Toc19232"/>
      <w:bookmarkStart w:id="92" w:name="_Toc22584"/>
      <w:bookmarkStart w:id="93" w:name="_Toc27369"/>
      <w:bookmarkStart w:id="94" w:name="_Toc27425"/>
      <w:r>
        <w:rPr>
          <w:rFonts w:hint="eastAsia" w:ascii="仿宋" w:hAnsi="仿宋" w:eastAsia="仿宋"/>
          <w:color w:val="auto"/>
          <w:sz w:val="28"/>
          <w:szCs w:val="28"/>
          <w:highlight w:val="none"/>
        </w:rPr>
        <w:t>2.本项目采用纸质招投标方式，仔细阅读招标文件要求。</w:t>
      </w:r>
      <w:bookmarkEnd w:id="91"/>
      <w:bookmarkEnd w:id="92"/>
      <w:bookmarkEnd w:id="93"/>
      <w:bookmarkEnd w:id="94"/>
    </w:p>
    <w:p w14:paraId="0024B385">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1"/>
        <w:rPr>
          <w:rFonts w:ascii="黑体" w:hAnsi="黑体" w:eastAsia="黑体" w:cs="宋体"/>
          <w:bCs/>
          <w:color w:val="auto"/>
          <w:sz w:val="28"/>
          <w:szCs w:val="28"/>
          <w:highlight w:val="none"/>
        </w:rPr>
      </w:pPr>
      <w:bookmarkStart w:id="95" w:name="_Toc3476"/>
      <w:bookmarkStart w:id="96" w:name="_Toc35393636"/>
      <w:bookmarkStart w:id="97" w:name="_Toc24714"/>
      <w:bookmarkStart w:id="98" w:name="_Toc28359018"/>
      <w:bookmarkStart w:id="99" w:name="_Toc19670"/>
      <w:bookmarkStart w:id="100" w:name="_Toc28359095"/>
      <w:bookmarkStart w:id="101" w:name="_Toc14004"/>
      <w:bookmarkStart w:id="102" w:name="_Toc3539380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95"/>
      <w:bookmarkEnd w:id="96"/>
      <w:bookmarkEnd w:id="97"/>
      <w:bookmarkEnd w:id="98"/>
      <w:bookmarkEnd w:id="99"/>
      <w:bookmarkEnd w:id="100"/>
      <w:bookmarkEnd w:id="101"/>
      <w:bookmarkEnd w:id="102"/>
    </w:p>
    <w:p w14:paraId="3C60C462">
      <w:pPr>
        <w:pageBreakBefore w:val="0"/>
        <w:widowControl w:val="0"/>
        <w:kinsoku/>
        <w:wordWrap/>
        <w:overflowPunct/>
        <w:topLinePunct w:val="0"/>
        <w:autoSpaceDE/>
        <w:autoSpaceDN/>
        <w:bidi w:val="0"/>
        <w:adjustRightInd/>
        <w:snapToGrid/>
        <w:spacing w:line="240" w:lineRule="auto"/>
        <w:ind w:firstLine="565" w:firstLineChars="202"/>
        <w:textAlignment w:val="auto"/>
        <w:outlineLvl w:val="2"/>
        <w:rPr>
          <w:rFonts w:hint="eastAsia" w:ascii="仿宋" w:hAnsi="仿宋" w:eastAsia="仿宋"/>
          <w:color w:val="auto"/>
          <w:sz w:val="28"/>
          <w:szCs w:val="28"/>
          <w:highlight w:val="none"/>
        </w:rPr>
      </w:pPr>
      <w:bookmarkStart w:id="103" w:name="_Toc14914"/>
      <w:bookmarkStart w:id="104" w:name="_Toc20383"/>
      <w:bookmarkStart w:id="105" w:name="_Toc7029"/>
      <w:bookmarkStart w:id="106" w:name="_Toc11980"/>
      <w:r>
        <w:rPr>
          <w:rFonts w:hint="eastAsia" w:ascii="仿宋" w:hAnsi="仿宋" w:eastAsia="仿宋"/>
          <w:color w:val="auto"/>
          <w:sz w:val="28"/>
          <w:szCs w:val="28"/>
          <w:highlight w:val="none"/>
        </w:rPr>
        <w:t>1.采购人信息</w:t>
      </w:r>
      <w:bookmarkEnd w:id="103"/>
      <w:bookmarkEnd w:id="104"/>
      <w:bookmarkEnd w:id="105"/>
      <w:bookmarkEnd w:id="106"/>
    </w:p>
    <w:p w14:paraId="1CE071DE">
      <w:pPr>
        <w:pageBreakBefore w:val="0"/>
        <w:widowControl w:val="0"/>
        <w:kinsoku/>
        <w:wordWrap/>
        <w:overflowPunct/>
        <w:topLinePunct w:val="0"/>
        <w:autoSpaceDE/>
        <w:autoSpaceDN/>
        <w:bidi w:val="0"/>
        <w:adjustRightInd/>
        <w:snapToGrid/>
        <w:spacing w:line="240" w:lineRule="auto"/>
        <w:ind w:firstLine="565" w:firstLineChars="202"/>
        <w:textAlignment w:val="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名    称：潜山市中医院　　 　</w:t>
      </w:r>
    </w:p>
    <w:p w14:paraId="0E43F778">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址：潜山市梅城镇　　 　</w:t>
      </w:r>
    </w:p>
    <w:p w14:paraId="5F50F3EE">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lang w:val="en-US" w:eastAsia="zh-CN"/>
        </w:rPr>
        <w:t>储先生</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p w14:paraId="34A2C24C">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联系方式：</w:t>
      </w:r>
      <w:r>
        <w:rPr>
          <w:rFonts w:hint="eastAsia" w:ascii="仿宋" w:hAnsi="仿宋" w:eastAsia="仿宋"/>
          <w:color w:val="auto"/>
          <w:sz w:val="28"/>
          <w:szCs w:val="28"/>
          <w:highlight w:val="none"/>
          <w:lang w:val="en-US" w:eastAsia="zh-CN"/>
        </w:rPr>
        <w:t>13966964718</w:t>
      </w:r>
      <w:r>
        <w:rPr>
          <w:rFonts w:hint="eastAsia" w:ascii="仿宋" w:hAnsi="仿宋" w:eastAsia="仿宋"/>
          <w:color w:val="auto"/>
          <w:sz w:val="28"/>
          <w:szCs w:val="28"/>
          <w:highlight w:val="none"/>
        </w:rPr>
        <w:t>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w:t>
      </w:r>
      <w:bookmarkStart w:id="107" w:name="_Toc28359009"/>
      <w:bookmarkStart w:id="108" w:name="_Toc28359086"/>
    </w:p>
    <w:p w14:paraId="5FED17E2">
      <w:pPr>
        <w:ind w:firstLine="565" w:firstLineChars="202"/>
        <w:outlineLvl w:val="2"/>
        <w:rPr>
          <w:rFonts w:hint="eastAsia" w:ascii="仿宋" w:hAnsi="仿宋" w:eastAsia="仿宋"/>
          <w:color w:val="auto"/>
          <w:sz w:val="28"/>
          <w:szCs w:val="28"/>
          <w:highlight w:val="none"/>
        </w:rPr>
      </w:pPr>
      <w:bookmarkStart w:id="109" w:name="_Toc30859"/>
      <w:bookmarkStart w:id="110" w:name="_Toc24304"/>
      <w:bookmarkStart w:id="111" w:name="_Toc4027"/>
      <w:bookmarkStart w:id="112" w:name="_Toc12968"/>
      <w:r>
        <w:rPr>
          <w:rFonts w:hint="eastAsia" w:ascii="仿宋" w:hAnsi="仿宋" w:eastAsia="仿宋"/>
          <w:color w:val="auto"/>
          <w:sz w:val="28"/>
          <w:szCs w:val="28"/>
          <w:highlight w:val="none"/>
        </w:rPr>
        <w:t>2.采购代理机构信息</w:t>
      </w:r>
      <w:bookmarkEnd w:id="107"/>
      <w:bookmarkEnd w:id="108"/>
      <w:bookmarkEnd w:id="109"/>
      <w:bookmarkEnd w:id="110"/>
      <w:bookmarkEnd w:id="111"/>
      <w:bookmarkEnd w:id="112"/>
    </w:p>
    <w:p w14:paraId="5C09CE8F">
      <w:pPr>
        <w:ind w:firstLine="565" w:firstLineChars="202"/>
        <w:rPr>
          <w:rFonts w:hint="eastAsia" w:ascii="仿宋" w:hAnsi="仿宋" w:eastAsia="仿宋"/>
          <w:color w:val="auto"/>
          <w:sz w:val="28"/>
          <w:szCs w:val="28"/>
          <w:highlight w:val="none"/>
        </w:rPr>
      </w:pPr>
      <w:bookmarkStart w:id="113" w:name="_Toc28359010"/>
      <w:bookmarkStart w:id="114" w:name="_Toc28359087"/>
      <w:r>
        <w:rPr>
          <w:rFonts w:hint="eastAsia" w:ascii="仿宋" w:hAnsi="仿宋" w:eastAsia="仿宋"/>
          <w:color w:val="auto"/>
          <w:sz w:val="28"/>
          <w:szCs w:val="28"/>
          <w:highlight w:val="none"/>
        </w:rPr>
        <w:t>名 称： 安徽泰杰工程咨询有限公司</w:t>
      </w:r>
    </w:p>
    <w:p w14:paraId="50D66876">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地 址：潜山市开发区八一大道与三合路交叉口1幢1号</w:t>
      </w:r>
    </w:p>
    <w:p w14:paraId="16448ADB">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招标部联系人：熊晗晖    联系方式：</w:t>
      </w:r>
      <w:r>
        <w:rPr>
          <w:rFonts w:hint="eastAsia" w:ascii="仿宋" w:hAnsi="仿宋" w:eastAsia="仿宋"/>
          <w:color w:val="auto"/>
          <w:sz w:val="28"/>
          <w:szCs w:val="28"/>
          <w:highlight w:val="none"/>
          <w:lang w:val="en-US" w:eastAsia="zh-CN"/>
        </w:rPr>
        <w:t>19397056275</w:t>
      </w:r>
    </w:p>
    <w:p w14:paraId="4709733E">
      <w:pPr>
        <w:ind w:firstLine="565" w:firstLineChars="202"/>
        <w:outlineLvl w:val="2"/>
        <w:rPr>
          <w:rFonts w:hint="eastAsia" w:ascii="仿宋" w:hAnsi="仿宋" w:eastAsia="仿宋"/>
          <w:color w:val="auto"/>
          <w:sz w:val="28"/>
          <w:szCs w:val="28"/>
          <w:highlight w:val="none"/>
        </w:rPr>
      </w:pPr>
      <w:bookmarkStart w:id="115" w:name="_Toc2682"/>
      <w:bookmarkStart w:id="116" w:name="_Toc10532"/>
      <w:bookmarkStart w:id="117" w:name="_Toc25656"/>
      <w:bookmarkStart w:id="118" w:name="_Toc31834"/>
      <w:r>
        <w:rPr>
          <w:rFonts w:hint="eastAsia" w:ascii="仿宋" w:hAnsi="仿宋" w:eastAsia="仿宋"/>
          <w:color w:val="auto"/>
          <w:sz w:val="28"/>
          <w:szCs w:val="28"/>
          <w:highlight w:val="none"/>
        </w:rPr>
        <w:t>3.项目联系方式</w:t>
      </w:r>
      <w:bookmarkEnd w:id="113"/>
      <w:bookmarkEnd w:id="114"/>
      <w:bookmarkEnd w:id="115"/>
      <w:bookmarkEnd w:id="116"/>
      <w:bookmarkEnd w:id="117"/>
      <w:bookmarkEnd w:id="118"/>
    </w:p>
    <w:p w14:paraId="300436A9">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项目联系人：</w:t>
      </w:r>
      <w:r>
        <w:rPr>
          <w:rFonts w:hint="eastAsia" w:ascii="仿宋" w:hAnsi="仿宋" w:eastAsia="仿宋"/>
          <w:color w:val="auto"/>
          <w:sz w:val="28"/>
          <w:szCs w:val="28"/>
          <w:highlight w:val="none"/>
          <w:lang w:val="en-US" w:eastAsia="zh-CN"/>
        </w:rPr>
        <w:t>储先生</w:t>
      </w: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p w14:paraId="6F7BD601">
      <w:pPr>
        <w:widowControl/>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13966964718</w:t>
      </w:r>
      <w:r>
        <w:rPr>
          <w:rFonts w:hint="eastAsia" w:ascii="仿宋" w:hAnsi="仿宋" w:eastAsia="仿宋"/>
          <w:color w:val="auto"/>
          <w:sz w:val="28"/>
          <w:szCs w:val="28"/>
          <w:highlight w:val="none"/>
        </w:rPr>
        <w:t>　</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 xml:space="preserve">　　　  </w:t>
      </w:r>
    </w:p>
    <w:p w14:paraId="4FF108B5">
      <w:pPr>
        <w:widowControl/>
        <w:shd w:val="clear" w:color="auto" w:fill="FFFFFF"/>
        <w:ind w:left="1285" w:hanging="1280" w:hangingChars="400"/>
        <w:jc w:val="left"/>
        <w:rPr>
          <w:color w:val="auto"/>
          <w:szCs w:val="21"/>
          <w:highlight w:val="none"/>
        </w:rPr>
      </w:pPr>
      <w:r>
        <w:rPr>
          <w:rFonts w:hint="eastAsia" w:ascii="仿宋_GB2312" w:hAnsi="宋体" w:eastAsia="仿宋_GB2312" w:cs="宋体"/>
          <w:color w:val="auto"/>
          <w:kern w:val="0"/>
          <w:sz w:val="32"/>
          <w:szCs w:val="32"/>
          <w:highlight w:val="none"/>
          <w:lang w:val="en-US" w:eastAsia="zh-CN"/>
        </w:rPr>
        <w:t xml:space="preserve"> </w:t>
      </w:r>
    </w:p>
    <w:p w14:paraId="19A2C410">
      <w:pPr>
        <w:pStyle w:val="2"/>
        <w:spacing w:before="62" w:beforeLines="20" w:after="62" w:afterLines="20" w:line="480" w:lineRule="exact"/>
        <w:ind w:firstLine="0" w:firstLineChars="0"/>
        <w:jc w:val="center"/>
        <w:rPr>
          <w:rFonts w:hint="eastAsia" w:ascii="Arial" w:hAnsi="Arial"/>
          <w:color w:val="auto"/>
          <w:kern w:val="2"/>
          <w:sz w:val="32"/>
          <w:szCs w:val="32"/>
          <w:highlight w:val="none"/>
        </w:rPr>
      </w:pPr>
      <w:bookmarkStart w:id="119" w:name="_Toc8003"/>
      <w:bookmarkStart w:id="120" w:name="_Toc2968"/>
    </w:p>
    <w:p w14:paraId="3B3A15AE">
      <w:pPr>
        <w:rPr>
          <w:rFonts w:hint="eastAsia"/>
          <w:color w:val="auto"/>
          <w:highlight w:val="none"/>
        </w:rPr>
      </w:pPr>
    </w:p>
    <w:p w14:paraId="130C97B2">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121" w:name="_Toc19190"/>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rPr>
        <w:t>磋商须知</w:t>
      </w:r>
      <w:bookmarkEnd w:id="22"/>
      <w:bookmarkEnd w:id="119"/>
      <w:bookmarkEnd w:id="120"/>
      <w:bookmarkEnd w:id="121"/>
    </w:p>
    <w:p w14:paraId="47BE899E">
      <w:pPr>
        <w:pStyle w:val="2"/>
        <w:tabs>
          <w:tab w:val="clear" w:pos="1440"/>
          <w:tab w:val="clear" w:pos="5670"/>
        </w:tabs>
        <w:spacing w:beforeLines="0" w:afterLines="0"/>
        <w:ind w:firstLine="0" w:firstLineChars="0"/>
        <w:jc w:val="center"/>
        <w:outlineLvl w:val="1"/>
        <w:rPr>
          <w:rFonts w:ascii="宋体" w:hAnsi="宋体" w:eastAsia="宋体" w:cs="Tahoma"/>
          <w:bCs/>
          <w:color w:val="auto"/>
          <w:kern w:val="0"/>
          <w:sz w:val="32"/>
          <w:szCs w:val="32"/>
          <w:highlight w:val="none"/>
        </w:rPr>
      </w:pPr>
      <w:bookmarkStart w:id="122" w:name="_Toc12091"/>
      <w:bookmarkStart w:id="123" w:name="_Toc957"/>
      <w:bookmarkStart w:id="124" w:name="_Toc439316871"/>
      <w:bookmarkStart w:id="125" w:name="_Toc4382"/>
      <w:bookmarkStart w:id="126" w:name="_Toc25313"/>
      <w:bookmarkStart w:id="127" w:name="_Toc32723"/>
      <w:bookmarkStart w:id="128" w:name="_Toc22169"/>
      <w:r>
        <w:rPr>
          <w:rFonts w:hint="eastAsia" w:ascii="宋体" w:hAnsi="宋体" w:eastAsia="宋体" w:cs="Tahoma"/>
          <w:bCs/>
          <w:color w:val="auto"/>
          <w:kern w:val="0"/>
          <w:sz w:val="32"/>
          <w:szCs w:val="32"/>
          <w:highlight w:val="none"/>
        </w:rPr>
        <w:t>第一节</w:t>
      </w:r>
      <w:r>
        <w:rPr>
          <w:rFonts w:ascii="宋体" w:hAnsi="宋体" w:eastAsia="宋体" w:cs="Tahoma"/>
          <w:bCs/>
          <w:color w:val="auto"/>
          <w:kern w:val="0"/>
          <w:sz w:val="32"/>
          <w:szCs w:val="32"/>
          <w:highlight w:val="none"/>
        </w:rPr>
        <w:t xml:space="preserve"> </w:t>
      </w:r>
      <w:r>
        <w:rPr>
          <w:rFonts w:hint="eastAsia" w:ascii="宋体" w:hAnsi="宋体" w:eastAsia="宋体" w:cs="Tahoma"/>
          <w:bCs/>
          <w:color w:val="auto"/>
          <w:kern w:val="0"/>
          <w:sz w:val="32"/>
          <w:szCs w:val="32"/>
          <w:highlight w:val="none"/>
        </w:rPr>
        <w:t>磋商须知前附表</w:t>
      </w:r>
      <w:bookmarkEnd w:id="122"/>
      <w:bookmarkEnd w:id="123"/>
      <w:bookmarkEnd w:id="124"/>
      <w:bookmarkEnd w:id="125"/>
      <w:bookmarkEnd w:id="126"/>
      <w:bookmarkEnd w:id="127"/>
      <w:bookmarkEnd w:id="128"/>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734"/>
        <w:gridCol w:w="6480"/>
      </w:tblGrid>
      <w:tr w14:paraId="15AA2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F573C04">
            <w:pPr>
              <w:spacing w:line="480" w:lineRule="exact"/>
              <w:ind w:right="-358"/>
              <w:rPr>
                <w:rFonts w:ascii="宋体"/>
                <w:color w:val="auto"/>
                <w:szCs w:val="21"/>
                <w:highlight w:val="none"/>
              </w:rPr>
            </w:pPr>
            <w:r>
              <w:rPr>
                <w:rFonts w:hint="eastAsia" w:ascii="宋体" w:hAnsi="宋体"/>
                <w:color w:val="auto"/>
                <w:szCs w:val="21"/>
                <w:highlight w:val="none"/>
              </w:rPr>
              <w:t>序号</w:t>
            </w:r>
          </w:p>
        </w:tc>
        <w:tc>
          <w:tcPr>
            <w:tcW w:w="1734" w:type="dxa"/>
            <w:tcBorders>
              <w:top w:val="single" w:color="auto" w:sz="4" w:space="0"/>
              <w:left w:val="single" w:color="auto" w:sz="4" w:space="0"/>
              <w:bottom w:val="single" w:color="auto" w:sz="4" w:space="0"/>
              <w:right w:val="single" w:color="auto" w:sz="4" w:space="0"/>
            </w:tcBorders>
          </w:tcPr>
          <w:p w14:paraId="6A4B375A">
            <w:pPr>
              <w:spacing w:line="480" w:lineRule="exact"/>
              <w:jc w:val="center"/>
              <w:rPr>
                <w:rFonts w:ascii="宋体"/>
                <w:color w:val="auto"/>
                <w:szCs w:val="21"/>
                <w:highlight w:val="none"/>
              </w:rPr>
            </w:pPr>
            <w:r>
              <w:rPr>
                <w:rFonts w:hint="eastAsia" w:ascii="宋体" w:hAnsi="宋体"/>
                <w:color w:val="auto"/>
                <w:szCs w:val="21"/>
                <w:highlight w:val="none"/>
              </w:rPr>
              <w:t>内容</w:t>
            </w:r>
          </w:p>
        </w:tc>
        <w:tc>
          <w:tcPr>
            <w:tcW w:w="6480" w:type="dxa"/>
            <w:tcBorders>
              <w:top w:val="single" w:color="auto" w:sz="4" w:space="0"/>
              <w:left w:val="single" w:color="auto" w:sz="4" w:space="0"/>
              <w:bottom w:val="single" w:color="auto" w:sz="4" w:space="0"/>
            </w:tcBorders>
            <w:vAlign w:val="center"/>
          </w:tcPr>
          <w:p w14:paraId="0D691A7E">
            <w:pPr>
              <w:tabs>
                <w:tab w:val="left" w:pos="1180"/>
              </w:tabs>
              <w:spacing w:line="480" w:lineRule="exact"/>
              <w:jc w:val="center"/>
              <w:rPr>
                <w:rFonts w:ascii="宋体"/>
                <w:color w:val="auto"/>
                <w:szCs w:val="21"/>
                <w:highlight w:val="none"/>
              </w:rPr>
            </w:pPr>
            <w:r>
              <w:rPr>
                <w:rFonts w:hint="eastAsia" w:ascii="宋体" w:hAnsi="宋体"/>
                <w:color w:val="auto"/>
                <w:szCs w:val="21"/>
                <w:highlight w:val="none"/>
              </w:rPr>
              <w:t>说明与要求</w:t>
            </w:r>
          </w:p>
        </w:tc>
      </w:tr>
      <w:tr w14:paraId="01A58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B914B9D">
            <w:pPr>
              <w:spacing w:line="480" w:lineRule="exact"/>
              <w:jc w:val="center"/>
              <w:rPr>
                <w:rFonts w:ascii="宋体"/>
                <w:color w:val="auto"/>
                <w:szCs w:val="21"/>
                <w:highlight w:val="none"/>
              </w:rPr>
            </w:pPr>
            <w:r>
              <w:rPr>
                <w:rFonts w:ascii="宋体" w:hAnsi="宋体"/>
                <w:color w:val="auto"/>
                <w:szCs w:val="21"/>
                <w:highlight w:val="none"/>
              </w:rPr>
              <w:t>1</w:t>
            </w:r>
          </w:p>
        </w:tc>
        <w:tc>
          <w:tcPr>
            <w:tcW w:w="1734" w:type="dxa"/>
            <w:tcBorders>
              <w:top w:val="single" w:color="auto" w:sz="4" w:space="0"/>
              <w:left w:val="single" w:color="auto" w:sz="4" w:space="0"/>
              <w:bottom w:val="single" w:color="auto" w:sz="4" w:space="0"/>
              <w:right w:val="single" w:color="auto" w:sz="4" w:space="0"/>
            </w:tcBorders>
            <w:vAlign w:val="center"/>
          </w:tcPr>
          <w:p w14:paraId="1F659CD6">
            <w:pPr>
              <w:spacing w:line="480" w:lineRule="exact"/>
              <w:jc w:val="center"/>
              <w:rPr>
                <w:rFonts w:ascii="宋体"/>
                <w:color w:val="auto"/>
                <w:szCs w:val="21"/>
                <w:highlight w:val="none"/>
              </w:rPr>
            </w:pPr>
            <w:r>
              <w:rPr>
                <w:rFonts w:hint="eastAsia" w:ascii="宋体" w:hAnsi="宋体"/>
                <w:color w:val="auto"/>
                <w:szCs w:val="21"/>
                <w:highlight w:val="none"/>
              </w:rPr>
              <w:t>项目编号</w:t>
            </w:r>
          </w:p>
        </w:tc>
        <w:tc>
          <w:tcPr>
            <w:tcW w:w="6480" w:type="dxa"/>
            <w:tcBorders>
              <w:top w:val="single" w:color="auto" w:sz="4" w:space="0"/>
              <w:left w:val="single" w:color="auto" w:sz="4" w:space="0"/>
              <w:bottom w:val="single" w:color="auto" w:sz="4" w:space="0"/>
            </w:tcBorders>
            <w:vAlign w:val="center"/>
          </w:tcPr>
          <w:p w14:paraId="7A6A0306">
            <w:pPr>
              <w:spacing w:line="4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皖TJ-CG24050</w:t>
            </w:r>
          </w:p>
        </w:tc>
      </w:tr>
      <w:tr w14:paraId="27C76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6" w:type="dxa"/>
            <w:tcBorders>
              <w:top w:val="single" w:color="auto" w:sz="4" w:space="0"/>
              <w:bottom w:val="single" w:color="auto" w:sz="4" w:space="0"/>
              <w:right w:val="single" w:color="auto" w:sz="4" w:space="0"/>
            </w:tcBorders>
            <w:vAlign w:val="center"/>
          </w:tcPr>
          <w:p w14:paraId="27F4DD00">
            <w:pPr>
              <w:spacing w:line="480" w:lineRule="exact"/>
              <w:jc w:val="center"/>
              <w:rPr>
                <w:rFonts w:ascii="宋体"/>
                <w:color w:val="auto"/>
                <w:szCs w:val="21"/>
                <w:highlight w:val="none"/>
              </w:rPr>
            </w:pPr>
            <w:r>
              <w:rPr>
                <w:rFonts w:ascii="宋体" w:hAnsi="宋体"/>
                <w:color w:val="auto"/>
                <w:szCs w:val="21"/>
                <w:highlight w:val="none"/>
              </w:rPr>
              <w:t>2</w:t>
            </w:r>
          </w:p>
        </w:tc>
        <w:tc>
          <w:tcPr>
            <w:tcW w:w="1734" w:type="dxa"/>
            <w:tcBorders>
              <w:top w:val="single" w:color="auto" w:sz="4" w:space="0"/>
              <w:left w:val="single" w:color="auto" w:sz="4" w:space="0"/>
              <w:bottom w:val="single" w:color="auto" w:sz="4" w:space="0"/>
              <w:right w:val="single" w:color="auto" w:sz="4" w:space="0"/>
            </w:tcBorders>
            <w:vAlign w:val="center"/>
          </w:tcPr>
          <w:p w14:paraId="2B492327">
            <w:pPr>
              <w:spacing w:line="480" w:lineRule="exact"/>
              <w:jc w:val="center"/>
              <w:rPr>
                <w:rFonts w:ascii="宋体"/>
                <w:color w:val="auto"/>
                <w:szCs w:val="21"/>
                <w:highlight w:val="none"/>
              </w:rPr>
            </w:pPr>
            <w:r>
              <w:rPr>
                <w:rFonts w:hint="eastAsia" w:ascii="宋体" w:hAnsi="宋体"/>
                <w:color w:val="auto"/>
                <w:szCs w:val="21"/>
                <w:highlight w:val="none"/>
              </w:rPr>
              <w:t>项目名称</w:t>
            </w:r>
          </w:p>
        </w:tc>
        <w:tc>
          <w:tcPr>
            <w:tcW w:w="6480" w:type="dxa"/>
            <w:tcBorders>
              <w:top w:val="single" w:color="auto" w:sz="4" w:space="0"/>
              <w:left w:val="single" w:color="auto" w:sz="4" w:space="0"/>
              <w:bottom w:val="single" w:color="auto" w:sz="4" w:space="0"/>
            </w:tcBorders>
            <w:vAlign w:val="center"/>
          </w:tcPr>
          <w:p w14:paraId="1E3C6B55">
            <w:pPr>
              <w:spacing w:line="48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2024年潜山市中医院艾灸仪、中药熏蒸治疗仪采购项目</w:t>
            </w:r>
          </w:p>
        </w:tc>
      </w:tr>
      <w:tr w14:paraId="5F503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86" w:type="dxa"/>
            <w:tcBorders>
              <w:top w:val="single" w:color="auto" w:sz="4" w:space="0"/>
              <w:bottom w:val="single" w:color="auto" w:sz="4" w:space="0"/>
              <w:right w:val="single" w:color="auto" w:sz="4" w:space="0"/>
            </w:tcBorders>
            <w:vAlign w:val="center"/>
          </w:tcPr>
          <w:p w14:paraId="3B3923C6">
            <w:pPr>
              <w:spacing w:line="480" w:lineRule="exact"/>
              <w:jc w:val="center"/>
              <w:rPr>
                <w:rFonts w:ascii="宋体"/>
                <w:color w:val="auto"/>
                <w:szCs w:val="21"/>
                <w:highlight w:val="none"/>
              </w:rPr>
            </w:pPr>
            <w:r>
              <w:rPr>
                <w:rFonts w:ascii="宋体" w:hAnsi="宋体"/>
                <w:color w:val="auto"/>
                <w:szCs w:val="21"/>
                <w:highlight w:val="none"/>
              </w:rPr>
              <w:t>3</w:t>
            </w:r>
          </w:p>
        </w:tc>
        <w:tc>
          <w:tcPr>
            <w:tcW w:w="1734" w:type="dxa"/>
            <w:tcBorders>
              <w:top w:val="single" w:color="auto" w:sz="4" w:space="0"/>
              <w:left w:val="single" w:color="auto" w:sz="4" w:space="0"/>
              <w:bottom w:val="single" w:color="auto" w:sz="4" w:space="0"/>
              <w:right w:val="single" w:color="auto" w:sz="4" w:space="0"/>
            </w:tcBorders>
            <w:vAlign w:val="center"/>
          </w:tcPr>
          <w:p w14:paraId="56A31229">
            <w:pPr>
              <w:spacing w:line="480" w:lineRule="exact"/>
              <w:jc w:val="center"/>
              <w:rPr>
                <w:rFonts w:ascii="宋体"/>
                <w:color w:val="auto"/>
                <w:szCs w:val="21"/>
                <w:highlight w:val="none"/>
              </w:rPr>
            </w:pPr>
            <w:r>
              <w:rPr>
                <w:rFonts w:hint="eastAsia" w:ascii="宋体" w:hAnsi="宋体"/>
                <w:color w:val="auto"/>
                <w:szCs w:val="21"/>
                <w:highlight w:val="none"/>
              </w:rPr>
              <w:t>采购人</w:t>
            </w:r>
          </w:p>
        </w:tc>
        <w:tc>
          <w:tcPr>
            <w:tcW w:w="6480" w:type="dxa"/>
            <w:tcBorders>
              <w:top w:val="single" w:color="auto" w:sz="4" w:space="0"/>
              <w:left w:val="single" w:color="auto" w:sz="4" w:space="0"/>
              <w:bottom w:val="single" w:color="auto" w:sz="4" w:space="0"/>
            </w:tcBorders>
            <w:vAlign w:val="center"/>
          </w:tcPr>
          <w:p w14:paraId="1522B170">
            <w:pPr>
              <w:widowControl/>
              <w:snapToGrid w:val="0"/>
              <w:spacing w:line="480" w:lineRule="exact"/>
              <w:rPr>
                <w:rFonts w:hint="default" w:eastAsia="宋体"/>
                <w:color w:val="auto"/>
                <w:szCs w:val="21"/>
                <w:highlight w:val="none"/>
                <w:lang w:val="en-US" w:eastAsia="zh-CN"/>
              </w:rPr>
            </w:pPr>
            <w:r>
              <w:rPr>
                <w:rFonts w:hint="eastAsia"/>
                <w:color w:val="auto"/>
                <w:szCs w:val="21"/>
                <w:highlight w:val="none"/>
                <w:lang w:val="en-US" w:eastAsia="zh-CN"/>
              </w:rPr>
              <w:t>潜山市中医院</w:t>
            </w:r>
          </w:p>
        </w:tc>
      </w:tr>
      <w:tr w14:paraId="500A7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E85F28A">
            <w:pPr>
              <w:spacing w:line="480" w:lineRule="exact"/>
              <w:jc w:val="center"/>
              <w:rPr>
                <w:rFonts w:ascii="宋体"/>
                <w:color w:val="auto"/>
                <w:szCs w:val="21"/>
                <w:highlight w:val="none"/>
              </w:rPr>
            </w:pPr>
            <w:r>
              <w:rPr>
                <w:rFonts w:ascii="宋体" w:hAnsi="宋体"/>
                <w:color w:val="auto"/>
                <w:szCs w:val="21"/>
                <w:highlight w:val="none"/>
              </w:rPr>
              <w:t>4</w:t>
            </w:r>
          </w:p>
        </w:tc>
        <w:tc>
          <w:tcPr>
            <w:tcW w:w="1734" w:type="dxa"/>
            <w:tcBorders>
              <w:top w:val="single" w:color="auto" w:sz="4" w:space="0"/>
              <w:left w:val="single" w:color="auto" w:sz="4" w:space="0"/>
              <w:bottom w:val="single" w:color="auto" w:sz="4" w:space="0"/>
              <w:right w:val="single" w:color="auto" w:sz="4" w:space="0"/>
            </w:tcBorders>
            <w:vAlign w:val="center"/>
          </w:tcPr>
          <w:p w14:paraId="43A35828">
            <w:pPr>
              <w:spacing w:line="480" w:lineRule="exact"/>
              <w:jc w:val="center"/>
              <w:rPr>
                <w:rFonts w:ascii="宋体"/>
                <w:color w:val="auto"/>
                <w:szCs w:val="21"/>
                <w:highlight w:val="none"/>
              </w:rPr>
            </w:pPr>
            <w:r>
              <w:rPr>
                <w:rFonts w:hint="eastAsia" w:ascii="宋体" w:hAnsi="宋体"/>
                <w:color w:val="auto"/>
                <w:szCs w:val="21"/>
                <w:highlight w:val="none"/>
              </w:rPr>
              <w:t>采购</w:t>
            </w:r>
            <w:r>
              <w:rPr>
                <w:rFonts w:hint="eastAsia" w:ascii="宋体" w:hAnsi="宋体"/>
                <w:color w:val="auto"/>
                <w:szCs w:val="21"/>
                <w:highlight w:val="none"/>
                <w:lang w:val="en-US" w:eastAsia="zh-CN"/>
              </w:rPr>
              <w:t>代理</w:t>
            </w:r>
            <w:r>
              <w:rPr>
                <w:rFonts w:hint="eastAsia" w:ascii="宋体" w:hAnsi="宋体"/>
                <w:color w:val="auto"/>
                <w:szCs w:val="21"/>
                <w:highlight w:val="none"/>
              </w:rPr>
              <w:t>机构</w:t>
            </w:r>
          </w:p>
        </w:tc>
        <w:tc>
          <w:tcPr>
            <w:tcW w:w="6480" w:type="dxa"/>
            <w:tcBorders>
              <w:top w:val="single" w:color="auto" w:sz="4" w:space="0"/>
              <w:left w:val="single" w:color="auto" w:sz="4" w:space="0"/>
              <w:bottom w:val="single" w:color="auto" w:sz="4" w:space="0"/>
            </w:tcBorders>
            <w:vAlign w:val="center"/>
          </w:tcPr>
          <w:p w14:paraId="603541A7">
            <w:pPr>
              <w:spacing w:line="480" w:lineRule="exact"/>
              <w:rPr>
                <w:rFonts w:ascii="宋体" w:cs="宋体"/>
                <w:color w:val="auto"/>
                <w:kern w:val="0"/>
                <w:szCs w:val="21"/>
                <w:highlight w:val="none"/>
              </w:rPr>
            </w:pPr>
            <w:r>
              <w:rPr>
                <w:rFonts w:hint="eastAsia" w:ascii="宋体" w:hAnsi="宋体" w:cs="宋体"/>
                <w:color w:val="auto"/>
                <w:szCs w:val="21"/>
                <w:highlight w:val="none"/>
              </w:rPr>
              <w:t>安徽泰杰工程咨询有限公司</w:t>
            </w:r>
          </w:p>
        </w:tc>
      </w:tr>
      <w:tr w14:paraId="13DA5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65701F09">
            <w:pPr>
              <w:spacing w:line="480" w:lineRule="exact"/>
              <w:jc w:val="center"/>
              <w:rPr>
                <w:rFonts w:ascii="宋体"/>
                <w:color w:val="auto"/>
                <w:szCs w:val="21"/>
                <w:highlight w:val="none"/>
              </w:rPr>
            </w:pPr>
            <w:r>
              <w:rPr>
                <w:rFonts w:ascii="宋体" w:hAnsi="宋体"/>
                <w:color w:val="auto"/>
                <w:szCs w:val="21"/>
                <w:highlight w:val="none"/>
              </w:rPr>
              <w:t>5</w:t>
            </w:r>
          </w:p>
        </w:tc>
        <w:tc>
          <w:tcPr>
            <w:tcW w:w="1734" w:type="dxa"/>
            <w:tcBorders>
              <w:top w:val="single" w:color="auto" w:sz="4" w:space="0"/>
              <w:left w:val="single" w:color="auto" w:sz="4" w:space="0"/>
              <w:bottom w:val="single" w:color="auto" w:sz="4" w:space="0"/>
              <w:right w:val="single" w:color="auto" w:sz="4" w:space="0"/>
            </w:tcBorders>
            <w:vAlign w:val="center"/>
          </w:tcPr>
          <w:p w14:paraId="3564E34C">
            <w:pPr>
              <w:spacing w:line="480" w:lineRule="exact"/>
              <w:jc w:val="center"/>
              <w:rPr>
                <w:color w:val="auto"/>
                <w:szCs w:val="21"/>
                <w:highlight w:val="none"/>
              </w:rPr>
            </w:pPr>
            <w:r>
              <w:rPr>
                <w:rFonts w:hint="eastAsia"/>
                <w:color w:val="auto"/>
                <w:szCs w:val="21"/>
                <w:highlight w:val="none"/>
              </w:rPr>
              <w:t>采购方式</w:t>
            </w:r>
          </w:p>
        </w:tc>
        <w:tc>
          <w:tcPr>
            <w:tcW w:w="6480" w:type="dxa"/>
            <w:tcBorders>
              <w:top w:val="single" w:color="auto" w:sz="4" w:space="0"/>
              <w:left w:val="single" w:color="auto" w:sz="4" w:space="0"/>
              <w:bottom w:val="single" w:color="auto" w:sz="4" w:space="0"/>
            </w:tcBorders>
            <w:vAlign w:val="center"/>
          </w:tcPr>
          <w:p w14:paraId="3580BCAA">
            <w:pPr>
              <w:spacing w:line="480" w:lineRule="exact"/>
              <w:rPr>
                <w:color w:val="auto"/>
                <w:szCs w:val="21"/>
                <w:highlight w:val="none"/>
              </w:rPr>
            </w:pPr>
            <w:r>
              <w:rPr>
                <w:rFonts w:hint="eastAsia"/>
                <w:color w:val="auto"/>
                <w:szCs w:val="21"/>
                <w:highlight w:val="none"/>
              </w:rPr>
              <w:t>竞争性磋商</w:t>
            </w:r>
          </w:p>
        </w:tc>
      </w:tr>
      <w:tr w14:paraId="750D9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D201B94">
            <w:pPr>
              <w:spacing w:line="480" w:lineRule="exact"/>
              <w:jc w:val="center"/>
              <w:rPr>
                <w:rFonts w:ascii="宋体"/>
                <w:color w:val="auto"/>
                <w:szCs w:val="21"/>
                <w:highlight w:val="none"/>
              </w:rPr>
            </w:pPr>
            <w:r>
              <w:rPr>
                <w:rFonts w:ascii="宋体" w:hAnsi="宋体"/>
                <w:color w:val="auto"/>
                <w:szCs w:val="21"/>
                <w:highlight w:val="none"/>
              </w:rPr>
              <w:t>6</w:t>
            </w:r>
          </w:p>
        </w:tc>
        <w:tc>
          <w:tcPr>
            <w:tcW w:w="1734" w:type="dxa"/>
            <w:tcBorders>
              <w:top w:val="single" w:color="auto" w:sz="4" w:space="0"/>
              <w:left w:val="single" w:color="auto" w:sz="4" w:space="0"/>
              <w:bottom w:val="single" w:color="auto" w:sz="4" w:space="0"/>
              <w:right w:val="single" w:color="auto" w:sz="4" w:space="0"/>
            </w:tcBorders>
            <w:vAlign w:val="center"/>
          </w:tcPr>
          <w:p w14:paraId="7973E61C">
            <w:pPr>
              <w:spacing w:line="480" w:lineRule="exact"/>
              <w:jc w:val="center"/>
              <w:rPr>
                <w:color w:val="auto"/>
                <w:szCs w:val="21"/>
                <w:highlight w:val="none"/>
              </w:rPr>
            </w:pPr>
            <w:r>
              <w:rPr>
                <w:rFonts w:hint="eastAsia"/>
                <w:color w:val="auto"/>
                <w:szCs w:val="21"/>
                <w:highlight w:val="none"/>
              </w:rPr>
              <w:t>标段划分</w:t>
            </w:r>
          </w:p>
        </w:tc>
        <w:tc>
          <w:tcPr>
            <w:tcW w:w="6480" w:type="dxa"/>
            <w:tcBorders>
              <w:top w:val="single" w:color="auto" w:sz="4" w:space="0"/>
              <w:left w:val="single" w:color="auto" w:sz="4" w:space="0"/>
              <w:bottom w:val="single" w:color="auto" w:sz="4" w:space="0"/>
            </w:tcBorders>
            <w:vAlign w:val="center"/>
          </w:tcPr>
          <w:p w14:paraId="5FB5C0D1">
            <w:pPr>
              <w:spacing w:line="480" w:lineRule="exact"/>
              <w:rPr>
                <w:color w:val="auto"/>
                <w:szCs w:val="21"/>
                <w:highlight w:val="none"/>
              </w:rPr>
            </w:pPr>
            <w:r>
              <w:rPr>
                <w:rFonts w:hint="eastAsia"/>
                <w:color w:val="auto"/>
                <w:szCs w:val="21"/>
                <w:highlight w:val="none"/>
              </w:rPr>
              <w:t>一个包</w:t>
            </w:r>
          </w:p>
        </w:tc>
      </w:tr>
      <w:tr w14:paraId="022D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4A5A59D">
            <w:pPr>
              <w:spacing w:line="480" w:lineRule="exact"/>
              <w:jc w:val="center"/>
              <w:rPr>
                <w:rFonts w:ascii="宋体"/>
                <w:color w:val="auto"/>
                <w:szCs w:val="21"/>
                <w:highlight w:val="none"/>
              </w:rPr>
            </w:pPr>
            <w:r>
              <w:rPr>
                <w:rFonts w:ascii="宋体" w:hAnsi="宋体"/>
                <w:color w:val="auto"/>
                <w:szCs w:val="21"/>
                <w:highlight w:val="none"/>
              </w:rPr>
              <w:t>7</w:t>
            </w:r>
          </w:p>
        </w:tc>
        <w:tc>
          <w:tcPr>
            <w:tcW w:w="1734" w:type="dxa"/>
            <w:tcBorders>
              <w:top w:val="single" w:color="auto" w:sz="4" w:space="0"/>
              <w:left w:val="single" w:color="auto" w:sz="4" w:space="0"/>
              <w:bottom w:val="single" w:color="auto" w:sz="4" w:space="0"/>
              <w:right w:val="single" w:color="auto" w:sz="4" w:space="0"/>
            </w:tcBorders>
            <w:vAlign w:val="center"/>
          </w:tcPr>
          <w:p w14:paraId="14E84D82">
            <w:pPr>
              <w:spacing w:line="480" w:lineRule="exact"/>
              <w:jc w:val="center"/>
              <w:rPr>
                <w:color w:val="auto"/>
                <w:szCs w:val="21"/>
                <w:highlight w:val="none"/>
              </w:rPr>
            </w:pPr>
            <w:r>
              <w:rPr>
                <w:rFonts w:hint="eastAsia"/>
                <w:color w:val="auto"/>
                <w:szCs w:val="21"/>
                <w:highlight w:val="none"/>
              </w:rPr>
              <w:t>资金来源</w:t>
            </w:r>
          </w:p>
        </w:tc>
        <w:tc>
          <w:tcPr>
            <w:tcW w:w="6480" w:type="dxa"/>
            <w:tcBorders>
              <w:top w:val="single" w:color="auto" w:sz="4" w:space="0"/>
              <w:left w:val="single" w:color="auto" w:sz="4" w:space="0"/>
              <w:bottom w:val="single" w:color="auto" w:sz="4" w:space="0"/>
            </w:tcBorders>
            <w:vAlign w:val="center"/>
          </w:tcPr>
          <w:p w14:paraId="753331C5">
            <w:pPr>
              <w:spacing w:line="480" w:lineRule="exact"/>
              <w:rPr>
                <w:rFonts w:hint="eastAsia" w:eastAsia="宋体"/>
                <w:color w:val="auto"/>
                <w:szCs w:val="21"/>
                <w:highlight w:val="none"/>
                <w:lang w:val="en-US" w:eastAsia="zh-CN"/>
              </w:rPr>
            </w:pPr>
            <w:r>
              <w:rPr>
                <w:rFonts w:hint="eastAsia"/>
                <w:color w:val="auto"/>
                <w:szCs w:val="21"/>
                <w:highlight w:val="none"/>
                <w:lang w:val="en-US" w:eastAsia="zh-CN"/>
              </w:rPr>
              <w:t>自筹</w:t>
            </w:r>
          </w:p>
        </w:tc>
      </w:tr>
      <w:tr w14:paraId="1639B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6" w:type="dxa"/>
            <w:tcBorders>
              <w:top w:val="single" w:color="auto" w:sz="4" w:space="0"/>
              <w:right w:val="single" w:color="auto" w:sz="4" w:space="0"/>
            </w:tcBorders>
            <w:vAlign w:val="center"/>
          </w:tcPr>
          <w:p w14:paraId="31EBE5E3">
            <w:pPr>
              <w:spacing w:line="480" w:lineRule="exact"/>
              <w:jc w:val="center"/>
              <w:rPr>
                <w:rFonts w:ascii="宋体"/>
                <w:color w:val="auto"/>
                <w:szCs w:val="21"/>
                <w:highlight w:val="none"/>
              </w:rPr>
            </w:pPr>
            <w:r>
              <w:rPr>
                <w:rFonts w:ascii="宋体" w:hAnsi="宋体"/>
                <w:color w:val="auto"/>
                <w:szCs w:val="21"/>
                <w:highlight w:val="none"/>
              </w:rPr>
              <w:t>8</w:t>
            </w:r>
          </w:p>
        </w:tc>
        <w:tc>
          <w:tcPr>
            <w:tcW w:w="1734" w:type="dxa"/>
            <w:tcBorders>
              <w:top w:val="single" w:color="auto" w:sz="4" w:space="0"/>
              <w:left w:val="single" w:color="auto" w:sz="4" w:space="0"/>
              <w:right w:val="single" w:color="auto" w:sz="4" w:space="0"/>
            </w:tcBorders>
            <w:vAlign w:val="center"/>
          </w:tcPr>
          <w:p w14:paraId="3EFDC851">
            <w:pPr>
              <w:spacing w:line="480" w:lineRule="exact"/>
              <w:jc w:val="center"/>
              <w:rPr>
                <w:color w:val="auto"/>
                <w:szCs w:val="21"/>
                <w:highlight w:val="none"/>
              </w:rPr>
            </w:pPr>
            <w:r>
              <w:rPr>
                <w:rFonts w:hint="eastAsia"/>
                <w:color w:val="auto"/>
                <w:szCs w:val="21"/>
                <w:highlight w:val="none"/>
              </w:rPr>
              <w:t>最高</w:t>
            </w:r>
            <w:r>
              <w:rPr>
                <w:rFonts w:hint="eastAsia"/>
                <w:color w:val="auto"/>
                <w:szCs w:val="21"/>
                <w:highlight w:val="none"/>
                <w:lang w:val="en-US" w:eastAsia="zh-CN"/>
              </w:rPr>
              <w:t>投标</w:t>
            </w:r>
            <w:r>
              <w:rPr>
                <w:rFonts w:hint="eastAsia"/>
                <w:color w:val="auto"/>
                <w:szCs w:val="21"/>
                <w:highlight w:val="none"/>
              </w:rPr>
              <w:t>限价</w:t>
            </w:r>
          </w:p>
        </w:tc>
        <w:tc>
          <w:tcPr>
            <w:tcW w:w="6480" w:type="dxa"/>
            <w:tcBorders>
              <w:top w:val="single" w:color="auto" w:sz="4" w:space="0"/>
              <w:left w:val="single" w:color="auto" w:sz="4" w:space="0"/>
              <w:bottom w:val="single" w:color="auto" w:sz="4" w:space="0"/>
            </w:tcBorders>
            <w:vAlign w:val="center"/>
          </w:tcPr>
          <w:p w14:paraId="4AD99851">
            <w:pPr>
              <w:spacing w:line="480" w:lineRule="exact"/>
              <w:jc w:val="left"/>
              <w:rPr>
                <w:rFonts w:hint="default" w:eastAsia="宋体"/>
                <w:color w:val="auto"/>
                <w:szCs w:val="21"/>
                <w:highlight w:val="none"/>
                <w:lang w:val="en-US" w:eastAsia="zh-CN"/>
              </w:rPr>
            </w:pPr>
            <w:r>
              <w:rPr>
                <w:rFonts w:hint="eastAsia"/>
                <w:color w:val="auto"/>
                <w:szCs w:val="21"/>
                <w:highlight w:val="none"/>
                <w:lang w:val="en-US" w:eastAsia="zh-CN"/>
              </w:rPr>
              <w:t>70000.00元</w:t>
            </w:r>
          </w:p>
        </w:tc>
      </w:tr>
      <w:tr w14:paraId="5EC5D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0A210924">
            <w:pPr>
              <w:spacing w:line="480" w:lineRule="exact"/>
              <w:jc w:val="center"/>
              <w:rPr>
                <w:rFonts w:ascii="宋体"/>
                <w:color w:val="auto"/>
                <w:szCs w:val="21"/>
                <w:highlight w:val="none"/>
              </w:rPr>
            </w:pPr>
            <w:r>
              <w:rPr>
                <w:rFonts w:ascii="宋体" w:hAnsi="宋体"/>
                <w:color w:val="auto"/>
                <w:szCs w:val="21"/>
                <w:highlight w:val="none"/>
              </w:rPr>
              <w:t>9</w:t>
            </w:r>
          </w:p>
        </w:tc>
        <w:tc>
          <w:tcPr>
            <w:tcW w:w="1734" w:type="dxa"/>
            <w:tcBorders>
              <w:top w:val="single" w:color="auto" w:sz="4" w:space="0"/>
              <w:left w:val="single" w:color="auto" w:sz="4" w:space="0"/>
              <w:bottom w:val="single" w:color="auto" w:sz="4" w:space="0"/>
              <w:right w:val="single" w:color="auto" w:sz="4" w:space="0"/>
            </w:tcBorders>
            <w:vAlign w:val="center"/>
          </w:tcPr>
          <w:p w14:paraId="11107389">
            <w:pPr>
              <w:spacing w:line="480" w:lineRule="exact"/>
              <w:jc w:val="center"/>
              <w:rPr>
                <w:color w:val="auto"/>
                <w:szCs w:val="21"/>
                <w:highlight w:val="none"/>
              </w:rPr>
            </w:pPr>
            <w:r>
              <w:rPr>
                <w:rFonts w:hint="eastAsia"/>
                <w:color w:val="auto"/>
                <w:szCs w:val="21"/>
                <w:highlight w:val="none"/>
              </w:rPr>
              <w:t>项目地点</w:t>
            </w:r>
          </w:p>
        </w:tc>
        <w:tc>
          <w:tcPr>
            <w:tcW w:w="6480" w:type="dxa"/>
            <w:tcBorders>
              <w:top w:val="single" w:color="auto" w:sz="4" w:space="0"/>
              <w:left w:val="single" w:color="auto" w:sz="4" w:space="0"/>
              <w:bottom w:val="single" w:color="auto" w:sz="4" w:space="0"/>
            </w:tcBorders>
            <w:vAlign w:val="center"/>
          </w:tcPr>
          <w:p w14:paraId="053F039D">
            <w:pPr>
              <w:spacing w:line="480" w:lineRule="exact"/>
              <w:jc w:val="left"/>
              <w:rPr>
                <w:rFonts w:hint="default" w:eastAsia="宋体"/>
                <w:color w:val="auto"/>
                <w:szCs w:val="21"/>
                <w:highlight w:val="none"/>
                <w:lang w:val="en-US" w:eastAsia="zh-CN"/>
              </w:rPr>
            </w:pPr>
            <w:r>
              <w:rPr>
                <w:rFonts w:hint="eastAsia"/>
                <w:color w:val="auto"/>
                <w:szCs w:val="21"/>
                <w:highlight w:val="none"/>
                <w:lang w:val="en-US" w:eastAsia="zh-CN"/>
              </w:rPr>
              <w:t>采购人指定地点</w:t>
            </w:r>
          </w:p>
        </w:tc>
      </w:tr>
      <w:tr w14:paraId="62174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EE11D33">
            <w:pPr>
              <w:spacing w:line="480" w:lineRule="exact"/>
              <w:jc w:val="center"/>
              <w:rPr>
                <w:rFonts w:ascii="宋体"/>
                <w:color w:val="auto"/>
                <w:szCs w:val="21"/>
                <w:highlight w:val="none"/>
              </w:rPr>
            </w:pPr>
            <w:r>
              <w:rPr>
                <w:rFonts w:ascii="宋体" w:hAnsi="宋体"/>
                <w:color w:val="auto"/>
                <w:szCs w:val="21"/>
                <w:highlight w:val="none"/>
              </w:rPr>
              <w:t>10</w:t>
            </w:r>
          </w:p>
        </w:tc>
        <w:tc>
          <w:tcPr>
            <w:tcW w:w="1734" w:type="dxa"/>
            <w:tcBorders>
              <w:top w:val="single" w:color="auto" w:sz="4" w:space="0"/>
              <w:left w:val="single" w:color="auto" w:sz="4" w:space="0"/>
              <w:bottom w:val="single" w:color="auto" w:sz="4" w:space="0"/>
              <w:right w:val="single" w:color="auto" w:sz="4" w:space="0"/>
            </w:tcBorders>
            <w:vAlign w:val="center"/>
          </w:tcPr>
          <w:p w14:paraId="4BEA976A">
            <w:pPr>
              <w:spacing w:line="480" w:lineRule="exact"/>
              <w:jc w:val="center"/>
              <w:rPr>
                <w:color w:val="auto"/>
                <w:szCs w:val="21"/>
                <w:highlight w:val="none"/>
              </w:rPr>
            </w:pPr>
            <w:r>
              <w:rPr>
                <w:rFonts w:hint="eastAsia"/>
                <w:color w:val="auto"/>
                <w:szCs w:val="21"/>
                <w:highlight w:val="none"/>
                <w:lang w:val="en-US" w:eastAsia="zh-CN"/>
              </w:rPr>
              <w:t>供货</w:t>
            </w:r>
            <w:r>
              <w:rPr>
                <w:rFonts w:hint="eastAsia"/>
                <w:color w:val="auto"/>
                <w:szCs w:val="21"/>
                <w:highlight w:val="none"/>
              </w:rPr>
              <w:t>期</w:t>
            </w:r>
          </w:p>
        </w:tc>
        <w:tc>
          <w:tcPr>
            <w:tcW w:w="6480" w:type="dxa"/>
            <w:tcBorders>
              <w:top w:val="single" w:color="auto" w:sz="4" w:space="0"/>
              <w:left w:val="single" w:color="auto" w:sz="4" w:space="0"/>
              <w:bottom w:val="single" w:color="auto" w:sz="4" w:space="0"/>
            </w:tcBorders>
            <w:vAlign w:val="center"/>
          </w:tcPr>
          <w:p w14:paraId="08C76AB0">
            <w:pPr>
              <w:spacing w:line="480" w:lineRule="exact"/>
              <w:rPr>
                <w:rFonts w:hint="default" w:eastAsia="宋体"/>
                <w:color w:val="auto"/>
                <w:szCs w:val="21"/>
                <w:highlight w:val="none"/>
                <w:lang w:val="en-US" w:eastAsia="zh-CN"/>
              </w:rPr>
            </w:pPr>
            <w:r>
              <w:rPr>
                <w:rFonts w:hint="eastAsia" w:asciiTheme="minorEastAsia" w:hAnsiTheme="minorEastAsia" w:eastAsiaTheme="minorEastAsia"/>
                <w:color w:val="auto"/>
                <w:sz w:val="24"/>
                <w:highlight w:val="none"/>
              </w:rPr>
              <w:t>自合同签订之日起</w:t>
            </w:r>
            <w:r>
              <w:rPr>
                <w:rFonts w:hint="eastAsia" w:asciiTheme="minorEastAsia" w:hAnsiTheme="minorEastAsia" w:eastAsiaTheme="minorEastAsia"/>
                <w:color w:val="auto"/>
                <w:sz w:val="24"/>
                <w:highlight w:val="none"/>
                <w:lang w:val="en-US" w:eastAsia="zh-CN"/>
              </w:rPr>
              <w:t>30日历天</w:t>
            </w:r>
            <w:r>
              <w:rPr>
                <w:rFonts w:hint="eastAsia" w:asciiTheme="minorEastAsia" w:hAnsiTheme="minorEastAsia" w:eastAsiaTheme="minorEastAsia"/>
                <w:color w:val="auto"/>
                <w:sz w:val="24"/>
                <w:highlight w:val="none"/>
                <w:lang w:eastAsia="zh-CN"/>
              </w:rPr>
              <w:t>。</w:t>
            </w:r>
          </w:p>
        </w:tc>
      </w:tr>
      <w:tr w14:paraId="1318A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B8B54A6">
            <w:pPr>
              <w:spacing w:line="480" w:lineRule="exact"/>
              <w:jc w:val="center"/>
              <w:rPr>
                <w:rFonts w:ascii="宋体"/>
                <w:color w:val="auto"/>
                <w:szCs w:val="21"/>
                <w:highlight w:val="none"/>
              </w:rPr>
            </w:pPr>
            <w:r>
              <w:rPr>
                <w:rFonts w:ascii="宋体" w:hAnsi="宋体"/>
                <w:color w:val="auto"/>
                <w:szCs w:val="21"/>
                <w:highlight w:val="none"/>
              </w:rPr>
              <w:t>11</w:t>
            </w:r>
          </w:p>
        </w:tc>
        <w:tc>
          <w:tcPr>
            <w:tcW w:w="1734" w:type="dxa"/>
            <w:tcBorders>
              <w:top w:val="single" w:color="auto" w:sz="4" w:space="0"/>
              <w:left w:val="single" w:color="auto" w:sz="4" w:space="0"/>
              <w:bottom w:val="single" w:color="auto" w:sz="4" w:space="0"/>
              <w:right w:val="single" w:color="auto" w:sz="4" w:space="0"/>
            </w:tcBorders>
            <w:vAlign w:val="center"/>
          </w:tcPr>
          <w:p w14:paraId="4681A852">
            <w:pPr>
              <w:spacing w:line="480" w:lineRule="exact"/>
              <w:jc w:val="center"/>
              <w:rPr>
                <w:rFonts w:ascii="宋体"/>
                <w:color w:val="auto"/>
                <w:szCs w:val="21"/>
                <w:highlight w:val="none"/>
              </w:rPr>
            </w:pPr>
            <w:r>
              <w:rPr>
                <w:rFonts w:hint="eastAsia" w:ascii="宋体" w:hAnsi="宋体"/>
                <w:color w:val="auto"/>
                <w:szCs w:val="21"/>
                <w:highlight w:val="none"/>
              </w:rPr>
              <w:t>资格条件</w:t>
            </w:r>
          </w:p>
        </w:tc>
        <w:tc>
          <w:tcPr>
            <w:tcW w:w="6480" w:type="dxa"/>
            <w:tcBorders>
              <w:top w:val="single" w:color="auto" w:sz="4" w:space="0"/>
              <w:left w:val="single" w:color="auto" w:sz="4" w:space="0"/>
              <w:bottom w:val="single" w:color="auto" w:sz="4" w:space="0"/>
            </w:tcBorders>
            <w:vAlign w:val="center"/>
          </w:tcPr>
          <w:p w14:paraId="59B7663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5082475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p>
          <w:p w14:paraId="780A359D">
            <w:pPr>
              <w:spacing w:line="48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3.本项目的特定资格要求：</w:t>
            </w:r>
            <w:r>
              <w:rPr>
                <w:rFonts w:hint="eastAsia" w:ascii="宋体" w:hAnsi="宋体" w:eastAsia="宋体" w:cs="宋体"/>
                <w:color w:val="auto"/>
                <w:szCs w:val="21"/>
                <w:highlight w:val="none"/>
                <w:lang w:val="en-US" w:eastAsia="zh-CN"/>
              </w:rPr>
              <w:t>供应商必须具有合法有效的营业执照，营业执照注明的经营范围含有本次采购相关内容。</w:t>
            </w:r>
          </w:p>
          <w:p w14:paraId="5C6F19E4">
            <w:pPr>
              <w:spacing w:line="480" w:lineRule="exact"/>
              <w:rPr>
                <w:rFonts w:ascii="宋体"/>
                <w:color w:val="auto"/>
                <w:szCs w:val="21"/>
                <w:highlight w:val="none"/>
              </w:rPr>
            </w:pPr>
            <w:r>
              <w:rPr>
                <w:rFonts w:hint="eastAsia" w:ascii="宋体" w:hAnsi="宋体" w:eastAsia="宋体" w:cs="宋体"/>
                <w:color w:val="auto"/>
                <w:szCs w:val="21"/>
                <w:highlight w:val="none"/>
                <w:lang w:val="en-US" w:eastAsia="zh-CN"/>
              </w:rPr>
              <w:t>4.本项目是否专门面向中小企业：</w:t>
            </w:r>
            <w:r>
              <w:rPr>
                <w:rFonts w:hint="eastAsia" w:ascii="宋体" w:hAnsi="宋体" w:cs="宋体"/>
                <w:color w:val="auto"/>
                <w:szCs w:val="21"/>
                <w:highlight w:val="none"/>
                <w:lang w:val="en-US" w:eastAsia="zh-CN"/>
              </w:rPr>
              <w:t>是</w:t>
            </w:r>
          </w:p>
        </w:tc>
      </w:tr>
      <w:tr w14:paraId="24A6F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6AB9EB3">
            <w:pPr>
              <w:spacing w:line="480" w:lineRule="exact"/>
              <w:jc w:val="center"/>
              <w:rPr>
                <w:rFonts w:ascii="宋体"/>
                <w:color w:val="auto"/>
                <w:szCs w:val="21"/>
                <w:highlight w:val="none"/>
              </w:rPr>
            </w:pPr>
            <w:r>
              <w:rPr>
                <w:rFonts w:ascii="宋体" w:hAnsi="宋体"/>
                <w:color w:val="auto"/>
                <w:szCs w:val="21"/>
                <w:highlight w:val="none"/>
              </w:rPr>
              <w:t>12</w:t>
            </w:r>
          </w:p>
        </w:tc>
        <w:tc>
          <w:tcPr>
            <w:tcW w:w="1734" w:type="dxa"/>
            <w:tcBorders>
              <w:top w:val="single" w:color="auto" w:sz="4" w:space="0"/>
              <w:left w:val="single" w:color="auto" w:sz="4" w:space="0"/>
              <w:bottom w:val="single" w:color="auto" w:sz="4" w:space="0"/>
              <w:right w:val="single" w:color="auto" w:sz="4" w:space="0"/>
            </w:tcBorders>
            <w:vAlign w:val="center"/>
          </w:tcPr>
          <w:p w14:paraId="721F78EB">
            <w:pPr>
              <w:spacing w:line="480" w:lineRule="exact"/>
              <w:jc w:val="center"/>
              <w:rPr>
                <w:rFonts w:ascii="宋体"/>
                <w:color w:val="auto"/>
                <w:szCs w:val="21"/>
                <w:highlight w:val="none"/>
              </w:rPr>
            </w:pPr>
            <w:r>
              <w:rPr>
                <w:rFonts w:hint="eastAsia" w:ascii="宋体" w:hAnsi="宋体"/>
                <w:color w:val="auto"/>
                <w:szCs w:val="21"/>
                <w:highlight w:val="none"/>
              </w:rPr>
              <w:t>资格审查方式</w:t>
            </w:r>
          </w:p>
        </w:tc>
        <w:tc>
          <w:tcPr>
            <w:tcW w:w="6480" w:type="dxa"/>
            <w:tcBorders>
              <w:top w:val="single" w:color="auto" w:sz="4" w:space="0"/>
              <w:left w:val="single" w:color="auto" w:sz="4" w:space="0"/>
              <w:bottom w:val="single" w:color="auto" w:sz="4" w:space="0"/>
            </w:tcBorders>
            <w:vAlign w:val="center"/>
          </w:tcPr>
          <w:p w14:paraId="4A8971F6">
            <w:pPr>
              <w:spacing w:line="480" w:lineRule="exact"/>
              <w:rPr>
                <w:rFonts w:ascii="宋体"/>
                <w:color w:val="auto"/>
                <w:szCs w:val="21"/>
                <w:highlight w:val="none"/>
              </w:rPr>
            </w:pPr>
            <w:r>
              <w:rPr>
                <w:rFonts w:hint="eastAsia" w:ascii="宋体" w:hAnsi="宋体"/>
                <w:color w:val="auto"/>
                <w:szCs w:val="21"/>
                <w:highlight w:val="none"/>
              </w:rPr>
              <w:t>资格后审</w:t>
            </w:r>
          </w:p>
        </w:tc>
      </w:tr>
      <w:tr w14:paraId="32D3C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A5B900F">
            <w:pPr>
              <w:spacing w:line="480" w:lineRule="exact"/>
              <w:jc w:val="center"/>
              <w:rPr>
                <w:rFonts w:ascii="宋体"/>
                <w:color w:val="auto"/>
                <w:szCs w:val="21"/>
                <w:highlight w:val="none"/>
              </w:rPr>
            </w:pPr>
            <w:r>
              <w:rPr>
                <w:rFonts w:ascii="宋体" w:hAnsi="宋体"/>
                <w:color w:val="auto"/>
                <w:szCs w:val="21"/>
                <w:highlight w:val="none"/>
              </w:rPr>
              <w:t>13</w:t>
            </w:r>
          </w:p>
        </w:tc>
        <w:tc>
          <w:tcPr>
            <w:tcW w:w="1734" w:type="dxa"/>
            <w:tcBorders>
              <w:top w:val="single" w:color="auto" w:sz="4" w:space="0"/>
              <w:left w:val="single" w:color="auto" w:sz="4" w:space="0"/>
              <w:bottom w:val="single" w:color="auto" w:sz="4" w:space="0"/>
              <w:right w:val="single" w:color="auto" w:sz="4" w:space="0"/>
            </w:tcBorders>
            <w:vAlign w:val="center"/>
          </w:tcPr>
          <w:p w14:paraId="6304FBD2">
            <w:pPr>
              <w:spacing w:line="480" w:lineRule="exact"/>
              <w:jc w:val="center"/>
              <w:rPr>
                <w:rFonts w:ascii="宋体"/>
                <w:color w:val="auto"/>
                <w:szCs w:val="21"/>
                <w:highlight w:val="none"/>
              </w:rPr>
            </w:pPr>
            <w:r>
              <w:rPr>
                <w:rFonts w:hint="eastAsia" w:ascii="宋体" w:hAnsi="宋体"/>
                <w:color w:val="auto"/>
                <w:szCs w:val="21"/>
                <w:highlight w:val="none"/>
              </w:rPr>
              <w:t>磋商有效期</w:t>
            </w:r>
          </w:p>
        </w:tc>
        <w:tc>
          <w:tcPr>
            <w:tcW w:w="6480" w:type="dxa"/>
            <w:tcBorders>
              <w:top w:val="single" w:color="auto" w:sz="4" w:space="0"/>
              <w:left w:val="single" w:color="auto" w:sz="4" w:space="0"/>
              <w:bottom w:val="single" w:color="auto" w:sz="4" w:space="0"/>
            </w:tcBorders>
            <w:vAlign w:val="center"/>
          </w:tcPr>
          <w:p w14:paraId="166435B4">
            <w:pPr>
              <w:spacing w:line="480" w:lineRule="exact"/>
              <w:ind w:left="-2" w:leftChars="-1" w:firstLine="2"/>
              <w:rPr>
                <w:rFonts w:ascii="宋体"/>
                <w:color w:val="auto"/>
                <w:szCs w:val="21"/>
                <w:highlight w:val="none"/>
              </w:rPr>
            </w:pPr>
            <w:r>
              <w:rPr>
                <w:rFonts w:ascii="宋体" w:hAnsi="宋体"/>
                <w:color w:val="auto"/>
                <w:szCs w:val="21"/>
                <w:highlight w:val="none"/>
                <w:u w:val="single"/>
              </w:rPr>
              <w:t>90</w:t>
            </w:r>
            <w:r>
              <w:rPr>
                <w:rFonts w:hint="eastAsia" w:ascii="宋体" w:hAnsi="宋体"/>
                <w:color w:val="auto"/>
                <w:szCs w:val="21"/>
                <w:highlight w:val="none"/>
                <w:u w:val="single"/>
              </w:rPr>
              <w:t>日历天（从响应文件提交截止时间算起）</w:t>
            </w:r>
          </w:p>
        </w:tc>
      </w:tr>
      <w:tr w14:paraId="311EB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3DFDDB4">
            <w:pPr>
              <w:spacing w:line="480" w:lineRule="exact"/>
              <w:jc w:val="center"/>
              <w:rPr>
                <w:rFonts w:ascii="宋体"/>
                <w:color w:val="auto"/>
                <w:szCs w:val="21"/>
                <w:highlight w:val="none"/>
              </w:rPr>
            </w:pPr>
            <w:r>
              <w:rPr>
                <w:rFonts w:ascii="宋体" w:hAnsi="宋体"/>
                <w:color w:val="auto"/>
                <w:szCs w:val="21"/>
                <w:highlight w:val="none"/>
              </w:rPr>
              <w:t>14</w:t>
            </w:r>
          </w:p>
        </w:tc>
        <w:tc>
          <w:tcPr>
            <w:tcW w:w="1734" w:type="dxa"/>
            <w:tcBorders>
              <w:top w:val="single" w:color="auto" w:sz="4" w:space="0"/>
              <w:left w:val="single" w:color="auto" w:sz="4" w:space="0"/>
              <w:bottom w:val="single" w:color="auto" w:sz="4" w:space="0"/>
              <w:right w:val="single" w:color="auto" w:sz="4" w:space="0"/>
            </w:tcBorders>
            <w:vAlign w:val="center"/>
          </w:tcPr>
          <w:p w14:paraId="12F09611">
            <w:pPr>
              <w:spacing w:line="480" w:lineRule="exact"/>
              <w:jc w:val="center"/>
              <w:rPr>
                <w:rFonts w:ascii="宋体"/>
                <w:color w:val="auto"/>
                <w:szCs w:val="21"/>
                <w:highlight w:val="none"/>
              </w:rPr>
            </w:pPr>
            <w:r>
              <w:rPr>
                <w:rFonts w:hint="eastAsia" w:ascii="宋体" w:hAnsi="宋体"/>
                <w:color w:val="auto"/>
                <w:szCs w:val="21"/>
                <w:highlight w:val="none"/>
              </w:rPr>
              <w:t>磋商保证金</w:t>
            </w:r>
          </w:p>
        </w:tc>
        <w:tc>
          <w:tcPr>
            <w:tcW w:w="6480" w:type="dxa"/>
            <w:tcBorders>
              <w:top w:val="single" w:color="auto" w:sz="4" w:space="0"/>
              <w:left w:val="single" w:color="auto" w:sz="4" w:space="0"/>
              <w:bottom w:val="single" w:color="auto" w:sz="4" w:space="0"/>
            </w:tcBorders>
            <w:vAlign w:val="center"/>
          </w:tcPr>
          <w:p w14:paraId="4AE0E75B">
            <w:pPr>
              <w:spacing w:line="420" w:lineRule="exact"/>
              <w:rPr>
                <w:rFonts w:hint="default" w:ascii="宋体" w:eastAsia="宋体"/>
                <w:color w:val="auto"/>
                <w:szCs w:val="21"/>
                <w:highlight w:val="none"/>
                <w:lang w:val="en-US" w:eastAsia="zh-CN"/>
              </w:rPr>
            </w:pPr>
            <w:r>
              <w:rPr>
                <w:rFonts w:hint="eastAsia" w:ascii="宋体"/>
                <w:color w:val="auto"/>
                <w:szCs w:val="21"/>
                <w:highlight w:val="none"/>
                <w:lang w:val="en-US" w:eastAsia="zh-CN"/>
              </w:rPr>
              <w:t>本项目免收</w:t>
            </w:r>
          </w:p>
        </w:tc>
      </w:tr>
      <w:tr w14:paraId="2B47B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30EAEFD1">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34" w:type="dxa"/>
            <w:tcBorders>
              <w:top w:val="single" w:color="auto" w:sz="4" w:space="0"/>
              <w:left w:val="single" w:color="auto" w:sz="4" w:space="0"/>
              <w:bottom w:val="single" w:color="auto" w:sz="4" w:space="0"/>
              <w:right w:val="single" w:color="auto" w:sz="4" w:space="0"/>
            </w:tcBorders>
            <w:vAlign w:val="center"/>
          </w:tcPr>
          <w:p w14:paraId="798EA577">
            <w:pPr>
              <w:spacing w:line="420" w:lineRule="exact"/>
              <w:rPr>
                <w:rFonts w:ascii="宋体" w:hAnsi="宋体" w:cs="宋体"/>
                <w:color w:val="auto"/>
                <w:szCs w:val="21"/>
                <w:highlight w:val="none"/>
              </w:rPr>
            </w:pPr>
            <w:r>
              <w:rPr>
                <w:rFonts w:hint="eastAsia" w:ascii="宋体" w:hAnsi="宋体" w:cs="宋体"/>
                <w:color w:val="auto"/>
                <w:szCs w:val="21"/>
                <w:highlight w:val="none"/>
              </w:rPr>
              <w:t>磋商响应文件要求</w:t>
            </w:r>
          </w:p>
        </w:tc>
        <w:tc>
          <w:tcPr>
            <w:tcW w:w="6480" w:type="dxa"/>
            <w:tcBorders>
              <w:top w:val="single" w:color="auto" w:sz="4" w:space="0"/>
              <w:left w:val="single" w:color="auto" w:sz="4" w:space="0"/>
              <w:bottom w:val="single" w:color="auto" w:sz="4" w:space="0"/>
            </w:tcBorders>
            <w:vAlign w:val="center"/>
          </w:tcPr>
          <w:p w14:paraId="64B4A94F">
            <w:pPr>
              <w:autoSpaceDE w:val="0"/>
              <w:autoSpaceDN w:val="0"/>
              <w:adjustRightInd w:val="0"/>
              <w:spacing w:line="440" w:lineRule="exact"/>
              <w:rPr>
                <w:rFonts w:ascii="宋体" w:hAnsi="宋体" w:cs="宋体"/>
                <w:b/>
                <w:color w:val="auto"/>
                <w:szCs w:val="21"/>
                <w:highlight w:val="none"/>
              </w:rPr>
            </w:pPr>
            <w:r>
              <w:rPr>
                <w:rFonts w:ascii="宋体" w:hAnsi="宋体" w:cs="宋体"/>
                <w:b/>
                <w:color w:val="auto"/>
                <w:szCs w:val="21"/>
                <w:highlight w:val="none"/>
              </w:rPr>
              <w:fldChar w:fldCharType="begin"/>
            </w:r>
            <w:r>
              <w:rPr>
                <w:rFonts w:ascii="宋体" w:hAnsi="宋体" w:cs="宋体"/>
                <w:b/>
                <w:color w:val="auto"/>
                <w:szCs w:val="21"/>
                <w:highlight w:val="none"/>
              </w:rPr>
              <w:instrText xml:space="preserve"> </w:instrText>
            </w:r>
            <w:r>
              <w:rPr>
                <w:rFonts w:hint="eastAsia" w:ascii="宋体" w:hAnsi="宋体" w:cs="宋体"/>
                <w:b/>
                <w:color w:val="auto"/>
                <w:szCs w:val="21"/>
                <w:highlight w:val="none"/>
              </w:rPr>
              <w:instrText xml:space="preserve">eq \o\ac(○,1)</w:instrText>
            </w:r>
            <w:r>
              <w:rPr>
                <w:rFonts w:ascii="宋体" w:hAnsi="宋体" w:cs="宋体"/>
                <w:b/>
                <w:color w:val="auto"/>
                <w:szCs w:val="21"/>
                <w:highlight w:val="none"/>
              </w:rPr>
              <w:fldChar w:fldCharType="end"/>
            </w:r>
            <w:r>
              <w:rPr>
                <w:rFonts w:hint="eastAsia" w:ascii="宋体" w:hAnsi="宋体" w:cs="宋体"/>
                <w:b/>
                <w:color w:val="auto"/>
                <w:szCs w:val="21"/>
                <w:highlight w:val="none"/>
              </w:rPr>
              <w:t>投标文件份数：正本壹份，副本叁份</w:t>
            </w:r>
          </w:p>
          <w:p w14:paraId="5E4A78AB">
            <w:pPr>
              <w:autoSpaceDE w:val="0"/>
              <w:autoSpaceDN w:val="0"/>
              <w:adjustRightInd w:val="0"/>
              <w:spacing w:line="440" w:lineRule="exact"/>
              <w:rPr>
                <w:rFonts w:ascii="宋体" w:hAnsi="宋体" w:cs="宋体"/>
                <w:color w:val="auto"/>
                <w:szCs w:val="21"/>
                <w:highlight w:val="none"/>
              </w:rPr>
            </w:pPr>
            <w:r>
              <w:rPr>
                <w:rFonts w:ascii="宋体" w:hAnsi="宋体" w:cs="宋体"/>
                <w:color w:val="auto"/>
                <w:szCs w:val="21"/>
                <w:highlight w:val="none"/>
              </w:rPr>
              <w:t>装订要求：</w:t>
            </w:r>
          </w:p>
          <w:p w14:paraId="6D27369C">
            <w:pPr>
              <w:autoSpaceDE w:val="0"/>
              <w:autoSpaceDN w:val="0"/>
              <w:adjustRightInd w:val="0"/>
              <w:spacing w:line="440" w:lineRule="exact"/>
              <w:ind w:leftChars="-4" w:hanging="8" w:hangingChars="4"/>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□不分册装订（</w:t>
            </w:r>
            <w:r>
              <w:rPr>
                <w:rFonts w:hint="eastAsia" w:ascii="宋体" w:hAnsi="宋体" w:cs="宋体"/>
                <w:b/>
                <w:color w:val="auto"/>
                <w:szCs w:val="21"/>
                <w:highlight w:val="none"/>
              </w:rPr>
              <w:t>须</w:t>
            </w:r>
            <w:r>
              <w:rPr>
                <w:rFonts w:ascii="宋体" w:hAnsi="宋体" w:cs="宋体"/>
                <w:b/>
                <w:color w:val="auto"/>
                <w:szCs w:val="21"/>
                <w:highlight w:val="none"/>
              </w:rPr>
              <w:t>在投标文件商务标</w:t>
            </w:r>
            <w:r>
              <w:rPr>
                <w:rFonts w:hint="eastAsia" w:ascii="宋体" w:hAnsi="宋体" w:cs="宋体"/>
                <w:b/>
                <w:color w:val="auto"/>
                <w:szCs w:val="21"/>
                <w:highlight w:val="none"/>
              </w:rPr>
              <w:t>封面分别相应地</w:t>
            </w:r>
            <w:r>
              <w:rPr>
                <w:rFonts w:ascii="宋体" w:hAnsi="宋体" w:cs="宋体"/>
                <w:b/>
                <w:color w:val="auto"/>
                <w:szCs w:val="21"/>
                <w:highlight w:val="none"/>
              </w:rPr>
              <w:t>标注</w:t>
            </w:r>
            <w:r>
              <w:rPr>
                <w:rFonts w:hint="eastAsia" w:ascii="宋体" w:hAnsi="宋体" w:cs="宋体"/>
                <w:b/>
                <w:color w:val="auto"/>
                <w:szCs w:val="21"/>
                <w:highlight w:val="none"/>
              </w:rPr>
              <w:t>“</w:t>
            </w:r>
            <w:r>
              <w:rPr>
                <w:rFonts w:ascii="宋体" w:hAnsi="宋体" w:cs="宋体"/>
                <w:b/>
                <w:color w:val="auto"/>
                <w:szCs w:val="21"/>
                <w:highlight w:val="none"/>
              </w:rPr>
              <w:t>正</w:t>
            </w:r>
            <w:r>
              <w:rPr>
                <w:rFonts w:hint="eastAsia" w:ascii="宋体" w:hAnsi="宋体" w:cs="宋体"/>
                <w:b/>
                <w:color w:val="auto"/>
                <w:szCs w:val="21"/>
                <w:highlight w:val="none"/>
              </w:rPr>
              <w:t>本”或“</w:t>
            </w:r>
            <w:r>
              <w:rPr>
                <w:rFonts w:ascii="宋体" w:hAnsi="宋体" w:cs="宋体"/>
                <w:b/>
                <w:color w:val="auto"/>
                <w:szCs w:val="21"/>
                <w:highlight w:val="none"/>
              </w:rPr>
              <w:t>副本</w:t>
            </w:r>
            <w:r>
              <w:rPr>
                <w:rFonts w:hint="eastAsia" w:ascii="宋体" w:hAnsi="宋体" w:cs="宋体"/>
                <w:b/>
                <w:color w:val="auto"/>
                <w:szCs w:val="21"/>
                <w:highlight w:val="none"/>
              </w:rPr>
              <w:t>”</w:t>
            </w:r>
            <w:r>
              <w:rPr>
                <w:rFonts w:ascii="宋体" w:hAnsi="宋体" w:cs="宋体"/>
                <w:color w:val="auto"/>
                <w:szCs w:val="21"/>
                <w:highlight w:val="none"/>
              </w:rPr>
              <w:t>字样）</w:t>
            </w:r>
          </w:p>
          <w:p w14:paraId="0A5CBD73">
            <w:pPr>
              <w:autoSpaceDE w:val="0"/>
              <w:autoSpaceDN w:val="0"/>
              <w:adjustRightInd w:val="0"/>
              <w:spacing w:line="440" w:lineRule="exact"/>
              <w:ind w:firstLine="222" w:firstLineChars="106"/>
              <w:rPr>
                <w:rFonts w:ascii="宋体" w:hAnsi="宋体" w:cs="宋体"/>
                <w:color w:val="auto"/>
                <w:szCs w:val="21"/>
                <w:highlight w:val="none"/>
              </w:rPr>
            </w:pPr>
            <w:r>
              <w:rPr>
                <w:rFonts w:ascii="宋体" w:hAnsi="宋体" w:cs="宋体"/>
                <w:color w:val="auto"/>
                <w:szCs w:val="21"/>
                <w:highlight w:val="none"/>
              </w:rPr>
              <w:t>□分册装订，共分</w:t>
            </w:r>
            <w:r>
              <w:rPr>
                <w:rFonts w:hint="eastAsia" w:ascii="宋体" w:hAnsi="宋体" w:cs="宋体"/>
                <w:color w:val="auto"/>
                <w:szCs w:val="21"/>
                <w:highlight w:val="none"/>
              </w:rPr>
              <w:t>　册</w:t>
            </w:r>
            <w:r>
              <w:rPr>
                <w:rFonts w:ascii="宋体" w:hAnsi="宋体" w:cs="宋体"/>
                <w:color w:val="auto"/>
                <w:szCs w:val="21"/>
                <w:highlight w:val="none"/>
              </w:rPr>
              <w:t>，分别为：</w:t>
            </w:r>
          </w:p>
          <w:p w14:paraId="5178F26F">
            <w:pPr>
              <w:spacing w:line="360" w:lineRule="auto"/>
              <w:ind w:left="360"/>
              <w:rPr>
                <w:rFonts w:ascii="宋体" w:hAnsi="宋体" w:cs="宋体"/>
                <w:color w:val="auto"/>
                <w:szCs w:val="21"/>
                <w:highlight w:val="none"/>
              </w:rPr>
            </w:pPr>
            <w:r>
              <w:rPr>
                <w:rFonts w:ascii="宋体" w:hAnsi="宋体" w:cs="宋体"/>
                <w:color w:val="auto"/>
                <w:szCs w:val="21"/>
                <w:highlight w:val="none"/>
              </w:rPr>
              <w:t>采用</w:t>
            </w:r>
            <w:r>
              <w:rPr>
                <w:rFonts w:hint="eastAsia" w:ascii="宋体" w:hAnsi="宋体" w:cs="宋体"/>
                <w:color w:val="auto"/>
                <w:szCs w:val="21"/>
                <w:highlight w:val="none"/>
              </w:rPr>
              <w:t>固定</w:t>
            </w:r>
            <w:r>
              <w:rPr>
                <w:rFonts w:ascii="宋体" w:hAnsi="宋体" w:cs="宋体"/>
                <w:color w:val="auto"/>
                <w:szCs w:val="21"/>
                <w:highlight w:val="none"/>
              </w:rPr>
              <w:t>方式装订，装订应牢固、不易拆散和换页，不得采用活页装订</w:t>
            </w:r>
          </w:p>
          <w:p w14:paraId="7A684D15">
            <w:pPr>
              <w:numPr>
                <w:ilvl w:val="0"/>
                <w:numId w:val="0"/>
              </w:numPr>
              <w:spacing w:line="440" w:lineRule="exact"/>
              <w:rPr>
                <w:rFonts w:ascii="宋体" w:hAnsi="宋体" w:cs="宋体"/>
                <w:color w:val="auto"/>
                <w:kern w:val="0"/>
                <w:szCs w:val="21"/>
                <w:highlight w:val="none"/>
              </w:rPr>
            </w:pPr>
            <w:r>
              <w:rPr>
                <w:rFonts w:ascii="宋体" w:hAnsi="宋体" w:cs="宋体"/>
                <w:b/>
                <w:color w:val="auto"/>
                <w:szCs w:val="21"/>
                <w:highlight w:val="none"/>
              </w:rPr>
              <w:fldChar w:fldCharType="begin"/>
            </w:r>
            <w:r>
              <w:rPr>
                <w:rFonts w:ascii="宋体" w:hAnsi="宋体" w:cs="宋体"/>
                <w:b/>
                <w:color w:val="auto"/>
                <w:szCs w:val="21"/>
                <w:highlight w:val="none"/>
              </w:rPr>
              <w:instrText xml:space="preserve"> </w:instrText>
            </w:r>
            <w:r>
              <w:rPr>
                <w:rFonts w:hint="eastAsia" w:ascii="宋体" w:hAnsi="宋体" w:cs="宋体"/>
                <w:b/>
                <w:color w:val="auto"/>
                <w:szCs w:val="21"/>
                <w:highlight w:val="none"/>
              </w:rPr>
              <w:instrText xml:space="preserve">eq \o\ac(○,2)</w:instrText>
            </w:r>
            <w:r>
              <w:rPr>
                <w:rFonts w:ascii="宋体" w:hAnsi="宋体" w:cs="宋体"/>
                <w:b/>
                <w:color w:val="auto"/>
                <w:szCs w:val="21"/>
                <w:highlight w:val="none"/>
              </w:rPr>
              <w:fldChar w:fldCharType="end"/>
            </w:r>
            <w:r>
              <w:rPr>
                <w:rFonts w:hint="eastAsia" w:ascii="宋体" w:hAnsi="宋体" w:cs="宋体"/>
                <w:b/>
                <w:color w:val="auto"/>
                <w:szCs w:val="21"/>
                <w:highlight w:val="none"/>
              </w:rPr>
              <w:t>投标文件须装在一密封袋内，密封袋应密封，并在密封袋上注明项目编号、项目名称、投标人名称同时加盖投标人公章。</w:t>
            </w:r>
          </w:p>
        </w:tc>
      </w:tr>
      <w:tr w14:paraId="67469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F7286B6">
            <w:pPr>
              <w:spacing w:line="480" w:lineRule="exact"/>
              <w:jc w:val="center"/>
              <w:rPr>
                <w:rFonts w:ascii="宋体"/>
                <w:color w:val="auto"/>
                <w:szCs w:val="21"/>
                <w:highlight w:val="none"/>
              </w:rPr>
            </w:pPr>
            <w:r>
              <w:rPr>
                <w:rFonts w:ascii="宋体" w:hAnsi="宋体"/>
                <w:color w:val="auto"/>
                <w:szCs w:val="21"/>
                <w:highlight w:val="none"/>
              </w:rPr>
              <w:t>16</w:t>
            </w:r>
          </w:p>
        </w:tc>
        <w:tc>
          <w:tcPr>
            <w:tcW w:w="1734" w:type="dxa"/>
            <w:tcBorders>
              <w:top w:val="single" w:color="auto" w:sz="4" w:space="0"/>
              <w:left w:val="single" w:color="auto" w:sz="4" w:space="0"/>
              <w:bottom w:val="single" w:color="auto" w:sz="4" w:space="0"/>
              <w:right w:val="single" w:color="auto" w:sz="4" w:space="0"/>
            </w:tcBorders>
            <w:vAlign w:val="center"/>
          </w:tcPr>
          <w:p w14:paraId="5873C3C9">
            <w:pPr>
              <w:spacing w:line="480" w:lineRule="exact"/>
              <w:jc w:val="center"/>
              <w:rPr>
                <w:rFonts w:ascii="宋体"/>
                <w:color w:val="auto"/>
                <w:szCs w:val="21"/>
                <w:highlight w:val="none"/>
              </w:rPr>
            </w:pPr>
            <w:r>
              <w:rPr>
                <w:rFonts w:hint="eastAsia" w:ascii="宋体" w:hAnsi="宋体"/>
                <w:color w:val="auto"/>
                <w:szCs w:val="21"/>
                <w:highlight w:val="none"/>
              </w:rPr>
              <w:t>提交响应文件</w:t>
            </w:r>
          </w:p>
        </w:tc>
        <w:tc>
          <w:tcPr>
            <w:tcW w:w="6480" w:type="dxa"/>
            <w:tcBorders>
              <w:top w:val="single" w:color="auto" w:sz="4" w:space="0"/>
              <w:left w:val="single" w:color="auto" w:sz="4" w:space="0"/>
              <w:bottom w:val="single" w:color="auto" w:sz="4" w:space="0"/>
            </w:tcBorders>
            <w:vAlign w:val="center"/>
          </w:tcPr>
          <w:p w14:paraId="63BFF13C">
            <w:pPr>
              <w:pStyle w:val="22"/>
              <w:widowControl/>
              <w:spacing w:line="240" w:lineRule="auto"/>
              <w:jc w:val="both"/>
              <w:rPr>
                <w:rFonts w:ascii="宋体" w:hAnsi="宋体"/>
                <w:color w:val="auto"/>
                <w:sz w:val="21"/>
                <w:szCs w:val="21"/>
                <w:highlight w:val="none"/>
              </w:rPr>
            </w:pPr>
            <w:r>
              <w:rPr>
                <w:rFonts w:hint="eastAsia" w:ascii="宋体" w:hAnsi="宋体"/>
                <w:color w:val="auto"/>
                <w:sz w:val="21"/>
                <w:szCs w:val="21"/>
                <w:highlight w:val="none"/>
              </w:rPr>
              <w:t>1、投标截止时间：</w:t>
            </w:r>
            <w:r>
              <w:rPr>
                <w:rFonts w:hint="eastAsia" w:ascii="宋体" w:hAnsi="宋体" w:cs="宋体"/>
                <w:b/>
                <w:color w:val="auto"/>
                <w:sz w:val="22"/>
                <w:highlight w:val="none"/>
                <w:u w:val="single"/>
              </w:rPr>
              <w:t>202</w:t>
            </w:r>
            <w:r>
              <w:rPr>
                <w:rFonts w:hint="eastAsia" w:ascii="宋体" w:hAnsi="宋体" w:cs="宋体"/>
                <w:b/>
                <w:color w:val="auto"/>
                <w:sz w:val="22"/>
                <w:highlight w:val="none"/>
                <w:u w:val="single"/>
                <w:lang w:val="en-US" w:eastAsia="zh-CN"/>
              </w:rPr>
              <w:t>4</w:t>
            </w:r>
            <w:r>
              <w:rPr>
                <w:rFonts w:hint="eastAsia" w:ascii="宋体" w:hAnsi="宋体" w:cs="宋体"/>
                <w:b/>
                <w:color w:val="auto"/>
                <w:sz w:val="22"/>
                <w:highlight w:val="none"/>
                <w:u w:val="single"/>
              </w:rPr>
              <w:t>年</w:t>
            </w:r>
            <w:r>
              <w:rPr>
                <w:rFonts w:hint="eastAsia" w:ascii="宋体" w:hAnsi="宋体" w:cs="宋体"/>
                <w:b/>
                <w:color w:val="auto"/>
                <w:sz w:val="22"/>
                <w:highlight w:val="none"/>
                <w:u w:val="single"/>
                <w:lang w:val="en-US" w:eastAsia="zh-CN"/>
              </w:rPr>
              <w:t>10</w:t>
            </w:r>
            <w:r>
              <w:rPr>
                <w:rFonts w:hint="eastAsia" w:ascii="宋体" w:hAnsi="宋体" w:cs="宋体"/>
                <w:b/>
                <w:color w:val="auto"/>
                <w:sz w:val="22"/>
                <w:highlight w:val="none"/>
                <w:u w:val="single"/>
              </w:rPr>
              <w:t>月</w:t>
            </w:r>
            <w:r>
              <w:rPr>
                <w:rFonts w:hint="eastAsia" w:ascii="宋体" w:hAnsi="宋体" w:cs="宋体"/>
                <w:b/>
                <w:color w:val="auto"/>
                <w:sz w:val="22"/>
                <w:highlight w:val="none"/>
                <w:u w:val="single"/>
                <w:lang w:val="en-US" w:eastAsia="zh-CN"/>
              </w:rPr>
              <w:t>28</w:t>
            </w:r>
            <w:r>
              <w:rPr>
                <w:rFonts w:hint="eastAsia" w:ascii="宋体" w:hAnsi="宋体" w:cs="宋体"/>
                <w:b/>
                <w:color w:val="auto"/>
                <w:sz w:val="22"/>
                <w:highlight w:val="none"/>
                <w:u w:val="single"/>
              </w:rPr>
              <w:t>日</w:t>
            </w:r>
            <w:r>
              <w:rPr>
                <w:rFonts w:hint="eastAsia" w:ascii="宋体" w:hAnsi="宋体" w:cs="宋体"/>
                <w:b/>
                <w:color w:val="auto"/>
                <w:sz w:val="22"/>
                <w:highlight w:val="none"/>
                <w:u w:val="single"/>
                <w:lang w:val="en-US" w:eastAsia="zh-CN"/>
              </w:rPr>
              <w:t>9</w:t>
            </w:r>
            <w:r>
              <w:rPr>
                <w:rFonts w:hint="eastAsia" w:ascii="宋体" w:hAnsi="宋体" w:cs="宋体"/>
                <w:b/>
                <w:color w:val="auto"/>
                <w:sz w:val="22"/>
                <w:highlight w:val="none"/>
                <w:u w:val="single"/>
              </w:rPr>
              <w:t>时</w:t>
            </w:r>
            <w:r>
              <w:rPr>
                <w:rFonts w:hint="eastAsia" w:ascii="宋体" w:hAnsi="宋体" w:cs="宋体"/>
                <w:b/>
                <w:color w:val="auto"/>
                <w:sz w:val="22"/>
                <w:highlight w:val="none"/>
                <w:u w:val="single"/>
                <w:lang w:val="en-US" w:eastAsia="zh-CN"/>
              </w:rPr>
              <w:t>30分</w:t>
            </w:r>
            <w:r>
              <w:rPr>
                <w:rFonts w:hint="eastAsia" w:ascii="宋体" w:hAnsi="宋体"/>
                <w:bCs/>
                <w:color w:val="auto"/>
                <w:sz w:val="21"/>
                <w:szCs w:val="21"/>
                <w:highlight w:val="none"/>
              </w:rPr>
              <w:t>（北京时间）</w:t>
            </w:r>
          </w:p>
          <w:p w14:paraId="66883ED9">
            <w:pPr>
              <w:pStyle w:val="55"/>
              <w:spacing w:line="240" w:lineRule="auto"/>
              <w:ind w:right="15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2、响应文件提交方式：</w:t>
            </w:r>
          </w:p>
          <w:p w14:paraId="5DA135A7">
            <w:pPr>
              <w:pStyle w:val="55"/>
              <w:spacing w:line="240" w:lineRule="auto"/>
              <w:ind w:right="150"/>
              <w:jc w:val="both"/>
              <w:rPr>
                <w:rFonts w:hint="eastAsia" w:ascii="宋体" w:hAnsi="宋体" w:cs="宋体"/>
                <w:b/>
                <w:color w:val="auto"/>
                <w:sz w:val="22"/>
                <w:highlight w:val="none"/>
              </w:rPr>
            </w:pPr>
            <w:r>
              <w:rPr>
                <w:rFonts w:ascii="宋体" w:hAnsi="宋体" w:cs="宋体"/>
                <w:b/>
                <w:color w:val="auto"/>
                <w:sz w:val="22"/>
                <w:highlight w:val="none"/>
              </w:rPr>
              <w:t>①</w:t>
            </w:r>
            <w:r>
              <w:rPr>
                <w:rFonts w:hint="eastAsia" w:ascii="宋体" w:hAnsi="宋体" w:cs="宋体"/>
                <w:b/>
                <w:color w:val="auto"/>
                <w:sz w:val="22"/>
                <w:highlight w:val="none"/>
              </w:rPr>
              <w:t xml:space="preserve">现场提交： </w:t>
            </w:r>
          </w:p>
          <w:p w14:paraId="341E76B4">
            <w:pPr>
              <w:pStyle w:val="55"/>
              <w:spacing w:line="240" w:lineRule="auto"/>
              <w:ind w:right="150"/>
              <w:jc w:val="both"/>
              <w:rPr>
                <w:rFonts w:ascii="宋体" w:hAnsi="宋体" w:cs="宋体"/>
                <w:b/>
                <w:color w:val="auto"/>
                <w:sz w:val="22"/>
                <w:highlight w:val="none"/>
              </w:rPr>
            </w:pPr>
            <w:r>
              <w:rPr>
                <w:rFonts w:hint="eastAsia" w:ascii="宋体" w:hAnsi="宋体" w:cs="宋体"/>
                <w:b/>
                <w:color w:val="auto"/>
                <w:sz w:val="22"/>
                <w:highlight w:val="none"/>
              </w:rPr>
              <w:t>若法定代表人参加开标会议的，须提交法定代表人身份证明书；若授权委托人参加开标会议的，须提交法定代表人授权委托书。</w:t>
            </w:r>
          </w:p>
          <w:p w14:paraId="14EA55B0">
            <w:pPr>
              <w:pStyle w:val="22"/>
              <w:widowControl/>
              <w:spacing w:line="240" w:lineRule="auto"/>
              <w:jc w:val="both"/>
              <w:rPr>
                <w:rFonts w:ascii="宋体" w:hAnsi="宋体" w:cs="宋体"/>
                <w:b/>
                <w:color w:val="auto"/>
                <w:sz w:val="22"/>
                <w:highlight w:val="none"/>
              </w:rPr>
            </w:pPr>
            <w:r>
              <w:rPr>
                <w:rFonts w:ascii="宋体" w:hAnsi="宋体" w:cs="宋体"/>
                <w:b/>
                <w:color w:val="auto"/>
                <w:sz w:val="22"/>
                <w:highlight w:val="none"/>
              </w:rPr>
              <w:t>②</w:t>
            </w:r>
            <w:r>
              <w:rPr>
                <w:rFonts w:hint="eastAsia" w:ascii="宋体" w:hAnsi="宋体" w:cs="宋体"/>
                <w:b/>
                <w:color w:val="auto"/>
                <w:sz w:val="22"/>
                <w:highlight w:val="none"/>
              </w:rPr>
              <w:t>不见面方式提交：</w:t>
            </w:r>
          </w:p>
          <w:p w14:paraId="76234F89">
            <w:pPr>
              <w:pStyle w:val="22"/>
              <w:widowControl/>
              <w:spacing w:line="240" w:lineRule="auto"/>
              <w:jc w:val="both"/>
              <w:rPr>
                <w:rFonts w:ascii="宋体" w:hAnsi="宋体" w:cs="宋体"/>
                <w:b/>
                <w:color w:val="auto"/>
                <w:sz w:val="22"/>
                <w:highlight w:val="none"/>
              </w:rPr>
            </w:pPr>
            <w:r>
              <w:rPr>
                <w:rFonts w:hint="eastAsia" w:ascii="宋体" w:hAnsi="宋体" w:cs="宋体"/>
                <w:b/>
                <w:color w:val="auto"/>
                <w:sz w:val="22"/>
                <w:highlight w:val="none"/>
              </w:rPr>
              <w:t>a、 邮寄地址：潜山市开发区八一大道与三合路交叉口1幢1号</w:t>
            </w:r>
          </w:p>
          <w:p w14:paraId="1AD17D10">
            <w:pPr>
              <w:pStyle w:val="22"/>
              <w:widowControl/>
              <w:spacing w:line="240" w:lineRule="auto"/>
              <w:jc w:val="both"/>
              <w:rPr>
                <w:rFonts w:ascii="宋体"/>
                <w:color w:val="auto"/>
                <w:szCs w:val="21"/>
                <w:highlight w:val="none"/>
              </w:rPr>
            </w:pPr>
            <w:r>
              <w:rPr>
                <w:rFonts w:hint="eastAsia" w:ascii="宋体" w:hAnsi="宋体" w:cs="宋体"/>
                <w:b/>
                <w:color w:val="auto"/>
                <w:sz w:val="22"/>
                <w:highlight w:val="none"/>
              </w:rPr>
              <w:t>b、以本代理机构工作人员实际签收邮件时间为准。（在邮寄过程中出现任何形式的邮件丢失、损坏等一系列问题，由潜在供应商自行负责。）</w:t>
            </w:r>
          </w:p>
        </w:tc>
      </w:tr>
      <w:tr w14:paraId="7095D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1197F001">
            <w:pPr>
              <w:spacing w:line="420" w:lineRule="exact"/>
              <w:jc w:val="center"/>
              <w:rPr>
                <w:rFonts w:ascii="宋体" w:hAnsi="宋体"/>
                <w:color w:val="auto"/>
                <w:szCs w:val="21"/>
                <w:highlight w:val="none"/>
              </w:rPr>
            </w:pPr>
            <w:r>
              <w:rPr>
                <w:rFonts w:hint="eastAsia" w:ascii="宋体" w:hAnsi="宋体"/>
                <w:color w:val="auto"/>
                <w:szCs w:val="21"/>
                <w:highlight w:val="none"/>
              </w:rPr>
              <w:t>17</w:t>
            </w:r>
          </w:p>
        </w:tc>
        <w:tc>
          <w:tcPr>
            <w:tcW w:w="1734" w:type="dxa"/>
            <w:tcBorders>
              <w:top w:val="single" w:color="auto" w:sz="4" w:space="0"/>
              <w:left w:val="single" w:color="auto" w:sz="4" w:space="0"/>
              <w:bottom w:val="single" w:color="auto" w:sz="4" w:space="0"/>
              <w:right w:val="single" w:color="auto" w:sz="4" w:space="0"/>
            </w:tcBorders>
            <w:vAlign w:val="center"/>
          </w:tcPr>
          <w:p w14:paraId="01908CAC">
            <w:pPr>
              <w:spacing w:line="420" w:lineRule="exact"/>
              <w:jc w:val="center"/>
              <w:rPr>
                <w:rFonts w:ascii="宋体" w:hAnsi="宋体"/>
                <w:color w:val="auto"/>
                <w:szCs w:val="21"/>
                <w:highlight w:val="none"/>
              </w:rPr>
            </w:pPr>
            <w:r>
              <w:rPr>
                <w:rFonts w:hint="eastAsia" w:ascii="宋体" w:hAnsi="宋体"/>
                <w:color w:val="auto"/>
                <w:szCs w:val="21"/>
                <w:highlight w:val="none"/>
              </w:rPr>
              <w:t>媒介发布</w:t>
            </w:r>
          </w:p>
        </w:tc>
        <w:tc>
          <w:tcPr>
            <w:tcW w:w="6480" w:type="dxa"/>
            <w:tcBorders>
              <w:top w:val="single" w:color="auto" w:sz="4" w:space="0"/>
              <w:left w:val="single" w:color="auto" w:sz="4" w:space="0"/>
              <w:bottom w:val="single" w:color="auto" w:sz="4" w:space="0"/>
            </w:tcBorders>
            <w:vAlign w:val="center"/>
          </w:tcPr>
          <w:p w14:paraId="00D4CBCE">
            <w:pPr>
              <w:autoSpaceDE w:val="0"/>
              <w:autoSpaceDN w:val="0"/>
              <w:adjustRightInd w:val="0"/>
              <w:spacing w:line="380" w:lineRule="exact"/>
              <w:jc w:val="left"/>
              <w:rPr>
                <w:rFonts w:ascii="宋体" w:hAnsi="宋体"/>
                <w:color w:val="auto"/>
                <w:szCs w:val="21"/>
                <w:highlight w:val="none"/>
              </w:rPr>
            </w:pPr>
            <w:r>
              <w:rPr>
                <w:rFonts w:hint="eastAsia" w:ascii="宋体" w:hAnsi="宋体"/>
                <w:color w:val="auto"/>
                <w:szCs w:val="21"/>
                <w:highlight w:val="none"/>
              </w:rPr>
              <w:t>本次招标公告在安徽泰杰工程咨询有限公司（http://www.ahtaijie.com/）网站发布</w:t>
            </w:r>
          </w:p>
        </w:tc>
      </w:tr>
      <w:tr w14:paraId="310D6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7EBFA0C2">
            <w:pPr>
              <w:spacing w:line="480" w:lineRule="exact"/>
              <w:jc w:val="center"/>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p>
        </w:tc>
        <w:tc>
          <w:tcPr>
            <w:tcW w:w="1734" w:type="dxa"/>
            <w:tcBorders>
              <w:top w:val="single" w:color="auto" w:sz="4" w:space="0"/>
              <w:left w:val="single" w:color="auto" w:sz="4" w:space="0"/>
              <w:bottom w:val="single" w:color="auto" w:sz="4" w:space="0"/>
              <w:right w:val="single" w:color="auto" w:sz="4" w:space="0"/>
            </w:tcBorders>
            <w:vAlign w:val="center"/>
          </w:tcPr>
          <w:p w14:paraId="17FE4885">
            <w:pPr>
              <w:spacing w:line="480" w:lineRule="exact"/>
              <w:jc w:val="center"/>
              <w:rPr>
                <w:rFonts w:ascii="宋体"/>
                <w:color w:val="auto"/>
                <w:szCs w:val="21"/>
                <w:highlight w:val="none"/>
              </w:rPr>
            </w:pPr>
            <w:r>
              <w:rPr>
                <w:rFonts w:hint="eastAsia" w:ascii="宋体" w:hAnsi="宋体"/>
                <w:color w:val="auto"/>
                <w:szCs w:val="21"/>
                <w:highlight w:val="none"/>
              </w:rPr>
              <w:t>磋商时间和地点</w:t>
            </w:r>
          </w:p>
        </w:tc>
        <w:tc>
          <w:tcPr>
            <w:tcW w:w="6480" w:type="dxa"/>
            <w:tcBorders>
              <w:top w:val="single" w:color="auto" w:sz="4" w:space="0"/>
              <w:left w:val="single" w:color="auto" w:sz="4" w:space="0"/>
              <w:bottom w:val="single" w:color="auto" w:sz="4" w:space="0"/>
            </w:tcBorders>
            <w:vAlign w:val="center"/>
          </w:tcPr>
          <w:p w14:paraId="7127FA60">
            <w:pPr>
              <w:pStyle w:val="22"/>
              <w:widowControl/>
              <w:spacing w:before="156" w:line="420" w:lineRule="exact"/>
              <w:jc w:val="both"/>
              <w:rPr>
                <w:rFonts w:ascii="宋体" w:hAnsi="宋体"/>
                <w:color w:val="auto"/>
                <w:sz w:val="21"/>
                <w:szCs w:val="21"/>
                <w:highlight w:val="none"/>
              </w:rPr>
            </w:pPr>
            <w:r>
              <w:rPr>
                <w:rFonts w:hint="eastAsia" w:ascii="宋体" w:hAnsi="宋体"/>
                <w:color w:val="auto"/>
                <w:sz w:val="21"/>
                <w:szCs w:val="21"/>
                <w:highlight w:val="none"/>
              </w:rPr>
              <w:t>时间:</w:t>
            </w:r>
            <w:r>
              <w:rPr>
                <w:rFonts w:hint="eastAsia" w:ascii="宋体" w:hAnsi="宋体" w:cs="宋体"/>
                <w:b/>
                <w:color w:val="auto"/>
                <w:sz w:val="22"/>
                <w:highlight w:val="none"/>
                <w:u w:val="single"/>
              </w:rPr>
              <w:t xml:space="preserve"> 202</w:t>
            </w:r>
            <w:r>
              <w:rPr>
                <w:rFonts w:hint="eastAsia" w:ascii="宋体" w:hAnsi="宋体" w:cs="宋体"/>
                <w:b/>
                <w:color w:val="auto"/>
                <w:sz w:val="22"/>
                <w:highlight w:val="none"/>
                <w:u w:val="single"/>
                <w:lang w:val="en-US" w:eastAsia="zh-CN"/>
              </w:rPr>
              <w:t>4</w:t>
            </w:r>
            <w:r>
              <w:rPr>
                <w:rFonts w:hint="eastAsia" w:ascii="宋体" w:hAnsi="宋体" w:cs="宋体"/>
                <w:b/>
                <w:color w:val="auto"/>
                <w:sz w:val="22"/>
                <w:highlight w:val="none"/>
                <w:u w:val="single"/>
              </w:rPr>
              <w:t>年</w:t>
            </w:r>
            <w:r>
              <w:rPr>
                <w:rFonts w:hint="eastAsia" w:ascii="宋体" w:hAnsi="宋体" w:cs="宋体"/>
                <w:b/>
                <w:color w:val="auto"/>
                <w:sz w:val="22"/>
                <w:highlight w:val="none"/>
                <w:u w:val="single"/>
                <w:lang w:val="en-US" w:eastAsia="zh-CN"/>
              </w:rPr>
              <w:t>10</w:t>
            </w:r>
            <w:r>
              <w:rPr>
                <w:rFonts w:hint="eastAsia" w:ascii="宋体" w:hAnsi="宋体" w:cs="宋体"/>
                <w:b/>
                <w:color w:val="auto"/>
                <w:sz w:val="22"/>
                <w:highlight w:val="none"/>
                <w:u w:val="single"/>
              </w:rPr>
              <w:t>月</w:t>
            </w:r>
            <w:r>
              <w:rPr>
                <w:rFonts w:hint="eastAsia" w:ascii="宋体" w:hAnsi="宋体" w:cs="宋体"/>
                <w:b/>
                <w:color w:val="auto"/>
                <w:sz w:val="22"/>
                <w:highlight w:val="none"/>
                <w:u w:val="single"/>
                <w:lang w:val="en-US" w:eastAsia="zh-CN"/>
              </w:rPr>
              <w:t>28</w:t>
            </w:r>
            <w:r>
              <w:rPr>
                <w:rFonts w:hint="eastAsia" w:ascii="宋体" w:hAnsi="宋体" w:cs="宋体"/>
                <w:b/>
                <w:color w:val="auto"/>
                <w:sz w:val="22"/>
                <w:highlight w:val="none"/>
                <w:u w:val="single"/>
              </w:rPr>
              <w:t>日</w:t>
            </w:r>
            <w:r>
              <w:rPr>
                <w:rFonts w:hint="eastAsia" w:ascii="宋体" w:hAnsi="宋体" w:cs="宋体"/>
                <w:b/>
                <w:color w:val="auto"/>
                <w:sz w:val="22"/>
                <w:highlight w:val="none"/>
                <w:u w:val="single"/>
                <w:lang w:val="en-US" w:eastAsia="zh-CN"/>
              </w:rPr>
              <w:t>9</w:t>
            </w:r>
            <w:r>
              <w:rPr>
                <w:rFonts w:hint="eastAsia" w:ascii="宋体" w:hAnsi="宋体" w:cs="宋体"/>
                <w:b/>
                <w:color w:val="auto"/>
                <w:sz w:val="22"/>
                <w:highlight w:val="none"/>
                <w:u w:val="single"/>
              </w:rPr>
              <w:t>时</w:t>
            </w:r>
            <w:r>
              <w:rPr>
                <w:rFonts w:hint="eastAsia" w:ascii="宋体" w:hAnsi="宋体" w:cs="宋体"/>
                <w:b/>
                <w:color w:val="auto"/>
                <w:sz w:val="22"/>
                <w:highlight w:val="none"/>
                <w:u w:val="single"/>
                <w:lang w:val="en-US" w:eastAsia="zh-CN"/>
              </w:rPr>
              <w:t>30分</w:t>
            </w:r>
            <w:r>
              <w:rPr>
                <w:rFonts w:hint="eastAsia" w:ascii="宋体" w:hAnsi="宋体"/>
                <w:bCs/>
                <w:color w:val="auto"/>
                <w:sz w:val="21"/>
                <w:szCs w:val="21"/>
                <w:highlight w:val="none"/>
              </w:rPr>
              <w:t>（北京时间）</w:t>
            </w:r>
          </w:p>
          <w:p w14:paraId="35804089">
            <w:pPr>
              <w:spacing w:line="480" w:lineRule="exact"/>
              <w:rPr>
                <w:rFonts w:ascii="宋体"/>
                <w:color w:val="auto"/>
                <w:szCs w:val="21"/>
                <w:highlight w:val="none"/>
              </w:rPr>
            </w:pPr>
            <w:r>
              <w:rPr>
                <w:rFonts w:hint="eastAsia" w:ascii="宋体" w:hAnsi="宋体"/>
                <w:color w:val="auto"/>
                <w:szCs w:val="21"/>
                <w:highlight w:val="none"/>
              </w:rPr>
              <w:t>开标地点：潜山市开发区八一大道与三合路交叉口1幢1号</w:t>
            </w:r>
          </w:p>
        </w:tc>
      </w:tr>
      <w:tr w14:paraId="6F3111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629B90D9">
            <w:pPr>
              <w:spacing w:line="480" w:lineRule="exact"/>
              <w:jc w:val="center"/>
              <w:rPr>
                <w:rFonts w:ascii="宋体"/>
                <w:color w:val="auto"/>
                <w:szCs w:val="21"/>
                <w:highlight w:val="none"/>
              </w:rPr>
            </w:pPr>
            <w:r>
              <w:rPr>
                <w:rFonts w:hint="eastAsia" w:ascii="宋体" w:hAnsi="宋体"/>
                <w:color w:val="auto"/>
                <w:szCs w:val="21"/>
                <w:highlight w:val="none"/>
              </w:rPr>
              <w:t>19</w:t>
            </w:r>
          </w:p>
        </w:tc>
        <w:tc>
          <w:tcPr>
            <w:tcW w:w="1734" w:type="dxa"/>
            <w:tcBorders>
              <w:top w:val="single" w:color="auto" w:sz="4" w:space="0"/>
              <w:left w:val="single" w:color="auto" w:sz="4" w:space="0"/>
              <w:bottom w:val="single" w:color="auto" w:sz="4" w:space="0"/>
              <w:right w:val="single" w:color="auto" w:sz="4" w:space="0"/>
            </w:tcBorders>
          </w:tcPr>
          <w:p w14:paraId="0E37F856">
            <w:pPr>
              <w:spacing w:line="480" w:lineRule="exact"/>
              <w:jc w:val="center"/>
              <w:rPr>
                <w:rFonts w:ascii="宋体"/>
                <w:color w:val="auto"/>
                <w:szCs w:val="21"/>
                <w:highlight w:val="none"/>
              </w:rPr>
            </w:pPr>
            <w:r>
              <w:rPr>
                <w:rFonts w:hint="eastAsia" w:ascii="宋体" w:hAnsi="宋体"/>
                <w:color w:val="auto"/>
                <w:szCs w:val="21"/>
                <w:highlight w:val="none"/>
              </w:rPr>
              <w:t>评审方法</w:t>
            </w:r>
          </w:p>
        </w:tc>
        <w:tc>
          <w:tcPr>
            <w:tcW w:w="6480" w:type="dxa"/>
            <w:tcBorders>
              <w:top w:val="single" w:color="auto" w:sz="4" w:space="0"/>
              <w:left w:val="single" w:color="auto" w:sz="4" w:space="0"/>
              <w:bottom w:val="single" w:color="auto" w:sz="4" w:space="0"/>
            </w:tcBorders>
            <w:vAlign w:val="center"/>
          </w:tcPr>
          <w:p w14:paraId="5FF56D62">
            <w:pPr>
              <w:spacing w:line="480" w:lineRule="exact"/>
              <w:rPr>
                <w:rFonts w:ascii="宋体"/>
                <w:color w:val="auto"/>
                <w:szCs w:val="21"/>
                <w:highlight w:val="none"/>
              </w:rPr>
            </w:pPr>
            <w:r>
              <w:rPr>
                <w:rFonts w:hint="eastAsia" w:ascii="宋体" w:hAnsi="宋体"/>
                <w:color w:val="auto"/>
                <w:szCs w:val="21"/>
                <w:highlight w:val="none"/>
              </w:rPr>
              <w:t>综合评分法</w:t>
            </w:r>
          </w:p>
        </w:tc>
      </w:tr>
      <w:tr w14:paraId="188CB3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2902EA25">
            <w:pPr>
              <w:spacing w:line="480" w:lineRule="exact"/>
              <w:jc w:val="center"/>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1734" w:type="dxa"/>
            <w:tcBorders>
              <w:top w:val="single" w:color="auto" w:sz="4" w:space="0"/>
              <w:left w:val="single" w:color="auto" w:sz="4" w:space="0"/>
              <w:bottom w:val="single" w:color="auto" w:sz="4" w:space="0"/>
              <w:right w:val="single" w:color="auto" w:sz="4" w:space="0"/>
            </w:tcBorders>
            <w:vAlign w:val="center"/>
          </w:tcPr>
          <w:p w14:paraId="41BBCE79">
            <w:pPr>
              <w:spacing w:line="480" w:lineRule="exact"/>
              <w:jc w:val="center"/>
              <w:rPr>
                <w:rFonts w:ascii="宋体"/>
                <w:color w:val="auto"/>
                <w:szCs w:val="21"/>
                <w:highlight w:val="none"/>
              </w:rPr>
            </w:pPr>
            <w:r>
              <w:rPr>
                <w:rFonts w:hint="eastAsia" w:ascii="宋体" w:hAnsi="宋体"/>
                <w:color w:val="auto"/>
                <w:szCs w:val="21"/>
                <w:highlight w:val="none"/>
              </w:rPr>
              <w:t>履约保证金</w:t>
            </w:r>
          </w:p>
        </w:tc>
        <w:tc>
          <w:tcPr>
            <w:tcW w:w="6480" w:type="dxa"/>
            <w:tcBorders>
              <w:top w:val="single" w:color="auto" w:sz="4" w:space="0"/>
              <w:left w:val="single" w:color="auto" w:sz="4" w:space="0"/>
              <w:bottom w:val="single" w:color="auto" w:sz="4" w:space="0"/>
            </w:tcBorders>
            <w:vAlign w:val="center"/>
          </w:tcPr>
          <w:p w14:paraId="18B55D77">
            <w:pPr>
              <w:spacing w:line="420" w:lineRule="exact"/>
              <w:rPr>
                <w:rFonts w:ascii="宋体"/>
                <w:color w:val="auto"/>
                <w:szCs w:val="21"/>
                <w:highlight w:val="none"/>
              </w:rPr>
            </w:pPr>
            <w:r>
              <w:rPr>
                <w:rFonts w:hint="eastAsia" w:ascii="宋体" w:hAnsi="宋体"/>
                <w:color w:val="auto"/>
                <w:szCs w:val="21"/>
                <w:highlight w:val="none"/>
              </w:rPr>
              <w:t>履约保证金金额：成交价的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2</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14:paraId="34F359AE">
            <w:pPr>
              <w:spacing w:line="420" w:lineRule="exact"/>
              <w:rPr>
                <w:rFonts w:ascii="宋体" w:hAnsi="宋体"/>
                <w:color w:val="auto"/>
                <w:szCs w:val="21"/>
                <w:highlight w:val="none"/>
              </w:rPr>
            </w:pPr>
            <w:r>
              <w:rPr>
                <w:rFonts w:hint="eastAsia" w:ascii="宋体" w:hAnsi="宋体"/>
                <w:color w:val="auto"/>
                <w:szCs w:val="21"/>
                <w:highlight w:val="none"/>
              </w:rPr>
              <w:t>履约保证金的形式：支票、汇票、本票、银行保函等非现金的形式。（如为银行保函，出具履约担保的银行必须为中国银行、中国工商银行、中国农业银行、中国建设银行、中国邮政储蓄银行、交通银行或供应商基本账户开户行开具的不可撤销的银行保函）。</w:t>
            </w:r>
          </w:p>
          <w:p w14:paraId="78BA259B">
            <w:pPr>
              <w:spacing w:line="480" w:lineRule="exact"/>
              <w:rPr>
                <w:rFonts w:ascii="宋体"/>
                <w:color w:val="auto"/>
                <w:szCs w:val="21"/>
                <w:highlight w:val="none"/>
              </w:rPr>
            </w:pPr>
            <w:r>
              <w:rPr>
                <w:rFonts w:hint="eastAsia" w:ascii="宋体" w:hAnsi="宋体"/>
                <w:color w:val="auto"/>
                <w:szCs w:val="21"/>
                <w:highlight w:val="none"/>
              </w:rPr>
              <w:t>履约保证金的提交：成交人在合同签订前按照磋商文件要求提交给采购人。</w:t>
            </w:r>
          </w:p>
        </w:tc>
      </w:tr>
      <w:tr w14:paraId="5AB67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6" w:type="dxa"/>
            <w:tcBorders>
              <w:top w:val="single" w:color="auto" w:sz="4" w:space="0"/>
              <w:bottom w:val="single" w:color="auto" w:sz="4" w:space="0"/>
              <w:right w:val="single" w:color="auto" w:sz="4" w:space="0"/>
            </w:tcBorders>
            <w:vAlign w:val="center"/>
          </w:tcPr>
          <w:p w14:paraId="513C2FF7">
            <w:pPr>
              <w:spacing w:line="480" w:lineRule="exact"/>
              <w:jc w:val="center"/>
              <w:rPr>
                <w:rFonts w:ascii="宋体"/>
                <w:color w:val="auto"/>
                <w:szCs w:val="21"/>
                <w:highlight w:val="none"/>
              </w:rPr>
            </w:pPr>
            <w:r>
              <w:rPr>
                <w:rFonts w:ascii="宋体" w:hAnsi="宋体"/>
                <w:color w:val="auto"/>
                <w:szCs w:val="21"/>
                <w:highlight w:val="none"/>
              </w:rPr>
              <w:t>21</w:t>
            </w:r>
          </w:p>
        </w:tc>
        <w:tc>
          <w:tcPr>
            <w:tcW w:w="1734" w:type="dxa"/>
            <w:tcBorders>
              <w:top w:val="single" w:color="auto" w:sz="4" w:space="0"/>
              <w:left w:val="single" w:color="auto" w:sz="4" w:space="0"/>
              <w:bottom w:val="single" w:color="auto" w:sz="4" w:space="0"/>
              <w:right w:val="single" w:color="auto" w:sz="4" w:space="0"/>
            </w:tcBorders>
          </w:tcPr>
          <w:p w14:paraId="71DC43DF">
            <w:pPr>
              <w:spacing w:line="480" w:lineRule="exact"/>
              <w:jc w:val="center"/>
              <w:rPr>
                <w:rFonts w:ascii="宋体"/>
                <w:color w:val="auto"/>
                <w:szCs w:val="21"/>
                <w:highlight w:val="none"/>
              </w:rPr>
            </w:pPr>
            <w:r>
              <w:rPr>
                <w:rFonts w:hint="eastAsia" w:ascii="宋体" w:hAnsi="宋体"/>
                <w:color w:val="auto"/>
                <w:szCs w:val="21"/>
                <w:highlight w:val="none"/>
              </w:rPr>
              <w:t>服务费</w:t>
            </w:r>
            <w:r>
              <w:rPr>
                <w:rFonts w:ascii="宋体" w:hAnsi="宋体"/>
                <w:color w:val="auto"/>
                <w:szCs w:val="21"/>
                <w:highlight w:val="none"/>
              </w:rPr>
              <w:t>(</w:t>
            </w:r>
            <w:r>
              <w:rPr>
                <w:rFonts w:hint="eastAsia" w:ascii="宋体" w:hAnsi="宋体"/>
                <w:color w:val="auto"/>
                <w:szCs w:val="21"/>
                <w:highlight w:val="none"/>
              </w:rPr>
              <w:t>元</w:t>
            </w:r>
            <w:r>
              <w:rPr>
                <w:rFonts w:ascii="宋体" w:hAnsi="宋体"/>
                <w:color w:val="auto"/>
                <w:szCs w:val="21"/>
                <w:highlight w:val="none"/>
              </w:rPr>
              <w:t>)</w:t>
            </w:r>
          </w:p>
        </w:tc>
        <w:tc>
          <w:tcPr>
            <w:tcW w:w="6480" w:type="dxa"/>
            <w:tcBorders>
              <w:top w:val="single" w:color="auto" w:sz="4" w:space="0"/>
              <w:left w:val="single" w:color="auto" w:sz="4" w:space="0"/>
              <w:bottom w:val="single" w:color="auto" w:sz="4" w:space="0"/>
            </w:tcBorders>
            <w:vAlign w:val="center"/>
          </w:tcPr>
          <w:p w14:paraId="005B762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（1）金额： </w:t>
            </w:r>
          </w:p>
          <w:p w14:paraId="09D291E9">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□免收 </w:t>
            </w:r>
          </w:p>
          <w:p w14:paraId="424F0B90">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□定额收取：人民币 </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元 </w:t>
            </w:r>
          </w:p>
          <w:p w14:paraId="38DB5265">
            <w:pPr>
              <w:pStyle w:val="8"/>
              <w:rPr>
                <w:rFonts w:hint="eastAsia" w:ascii="宋体" w:hAnsi="宋体" w:eastAsia="宋体" w:cs="Times New Roman"/>
                <w:b w:val="0"/>
                <w:color w:val="auto"/>
                <w:kern w:val="2"/>
                <w:sz w:val="21"/>
                <w:szCs w:val="21"/>
                <w:highlight w:val="none"/>
                <w:lang w:val="en-US" w:eastAsia="zh-CN" w:bidi="ar-SA"/>
              </w:rPr>
            </w:pPr>
            <w:bookmarkStart w:id="129" w:name="_Toc16380"/>
            <w:bookmarkStart w:id="130" w:name="_Toc7411"/>
            <w:bookmarkStart w:id="131" w:name="_Toc11900"/>
            <w:bookmarkStart w:id="132" w:name="_Toc18814"/>
            <w:r>
              <w:rPr>
                <w:rFonts w:hint="eastAsia" w:ascii="宋体" w:hAnsi="宋体" w:eastAsia="宋体" w:cs="Times New Roman"/>
                <w:b w:val="0"/>
                <w:color w:val="auto"/>
                <w:kern w:val="2"/>
                <w:sz w:val="21"/>
                <w:szCs w:val="21"/>
                <w:highlight w:val="none"/>
                <w:lang w:val="en-US" w:eastAsia="zh-CN" w:bidi="ar-SA"/>
              </w:rPr>
              <w:sym w:font="Wingdings 2" w:char="0052"/>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服务</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bookmarkEnd w:id="129"/>
            <w:bookmarkEnd w:id="130"/>
            <w:bookmarkEnd w:id="131"/>
            <w:bookmarkEnd w:id="132"/>
          </w:p>
          <w:p w14:paraId="504288A8">
            <w:pPr>
              <w:keepNext w:val="0"/>
              <w:keepLines w:val="0"/>
              <w:widowControl/>
              <w:suppressLineNumbers w:val="0"/>
              <w:spacing w:line="240" w:lineRule="auto"/>
              <w:jc w:val="left"/>
              <w:rPr>
                <w:rFonts w:hint="eastAsia" w:ascii="宋体" w:hAnsi="宋体" w:cs="宋体"/>
                <w:b/>
                <w:bCs/>
                <w:color w:val="auto"/>
                <w:kern w:val="0"/>
                <w:sz w:val="21"/>
                <w:szCs w:val="21"/>
                <w:highlight w:val="none"/>
                <w:lang w:val="en-US" w:eastAsia="zh-CN" w:bidi="ar"/>
              </w:rPr>
            </w:pPr>
          </w:p>
          <w:p w14:paraId="5B32C1C4">
            <w:pPr>
              <w:keepNext w:val="0"/>
              <w:keepLines w:val="0"/>
              <w:widowControl/>
              <w:suppressLineNumbers w:val="0"/>
              <w:spacing w:line="240" w:lineRule="auto"/>
              <w:jc w:val="left"/>
              <w:rPr>
                <w:rFonts w:hint="eastAsia" w:ascii="宋体" w:hAnsi="宋体" w:cs="宋体"/>
                <w:b/>
                <w:bCs/>
                <w:color w:val="auto"/>
                <w:kern w:val="0"/>
                <w:sz w:val="21"/>
                <w:szCs w:val="21"/>
                <w:highlight w:val="none"/>
                <w:lang w:val="en-US" w:eastAsia="zh-CN" w:bidi="ar"/>
              </w:rPr>
            </w:pPr>
            <w:r>
              <w:rPr>
                <w:rFonts w:hint="eastAsia" w:eastAsia="宋体"/>
                <w:strike/>
                <w:dstrike w:val="0"/>
                <w:color w:val="auto"/>
                <w:sz w:val="21"/>
                <w:szCs w:val="21"/>
                <w:highlight w:val="none"/>
                <w:lang w:eastAsia="zh-CN"/>
              </w:rPr>
              <w:drawing>
                <wp:inline distT="0" distB="0" distL="114300" distR="114300">
                  <wp:extent cx="3616325" cy="2551430"/>
                  <wp:effectExtent l="0" t="0" r="3175" b="1270"/>
                  <wp:docPr id="3" name="图片 3"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6875165(1)"/>
                          <pic:cNvPicPr>
                            <a:picLocks noChangeAspect="1"/>
                          </pic:cNvPicPr>
                        </pic:nvPicPr>
                        <pic:blipFill>
                          <a:blip r:embed="rId17"/>
                          <a:stretch>
                            <a:fillRect/>
                          </a:stretch>
                        </pic:blipFill>
                        <pic:spPr>
                          <a:xfrm>
                            <a:off x="0" y="0"/>
                            <a:ext cx="3616325" cy="2551430"/>
                          </a:xfrm>
                          <a:prstGeom prst="rect">
                            <a:avLst/>
                          </a:prstGeom>
                        </pic:spPr>
                      </pic:pic>
                    </a:graphicData>
                  </a:graphic>
                </wp:inline>
              </w:drawing>
            </w:r>
          </w:p>
          <w:p w14:paraId="30375A6B">
            <w:pPr>
              <w:keepNext w:val="0"/>
              <w:keepLines w:val="0"/>
              <w:widowControl/>
              <w:suppressLineNumbers w:val="0"/>
              <w:spacing w:line="240" w:lineRule="auto"/>
              <w:jc w:val="left"/>
              <w:rPr>
                <w:color w:val="auto"/>
                <w:sz w:val="21"/>
                <w:szCs w:val="21"/>
                <w:highlight w:val="none"/>
              </w:rPr>
            </w:pP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3FEE8147">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cs="宋体"/>
                <w:color w:val="auto"/>
                <w:kern w:val="0"/>
                <w:sz w:val="21"/>
                <w:szCs w:val="21"/>
                <w:highlight w:val="none"/>
                <w:lang w:val="en-US" w:eastAsia="zh-CN" w:bidi="ar"/>
              </w:rPr>
              <w:t>代理机构</w:t>
            </w:r>
          </w:p>
          <w:p w14:paraId="554C1DDF">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42972EE1">
            <w:pPr>
              <w:keepNext w:val="0"/>
              <w:keepLines w:val="0"/>
              <w:widowControl/>
              <w:suppressLineNumbers w:val="0"/>
              <w:jc w:val="left"/>
              <w:rPr>
                <w:rFonts w:ascii="宋体"/>
                <w:color w:val="auto"/>
                <w:szCs w:val="21"/>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文件要求缴纳服务费，完成缴费后请</w:t>
            </w:r>
            <w:r>
              <w:rPr>
                <w:rFonts w:ascii="宋体" w:hAnsi="宋体"/>
                <w:color w:val="auto"/>
                <w:sz w:val="21"/>
                <w:szCs w:val="21"/>
                <w:highlight w:val="none"/>
              </w:rPr>
              <w:t>在</w:t>
            </w:r>
            <w:r>
              <w:rPr>
                <w:rFonts w:hint="eastAsia" w:ascii="宋体" w:hAnsi="宋体"/>
                <w:color w:val="auto"/>
                <w:sz w:val="21"/>
                <w:szCs w:val="21"/>
                <w:highlight w:val="none"/>
              </w:rPr>
              <w:t>7</w:t>
            </w:r>
            <w:r>
              <w:rPr>
                <w:rFonts w:ascii="宋体" w:hAnsi="宋体"/>
                <w:color w:val="auto"/>
                <w:sz w:val="21"/>
                <w:szCs w:val="21"/>
                <w:highlight w:val="none"/>
              </w:rPr>
              <w:t>个工作日内前来开具增值税发票，逾期按普票开具，不再开具专票。</w:t>
            </w:r>
          </w:p>
        </w:tc>
      </w:tr>
      <w:tr w14:paraId="15051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786" w:type="dxa"/>
            <w:tcBorders>
              <w:top w:val="single" w:color="auto" w:sz="4" w:space="0"/>
              <w:bottom w:val="single" w:color="auto" w:sz="4" w:space="0"/>
              <w:right w:val="single" w:color="auto" w:sz="4" w:space="0"/>
            </w:tcBorders>
            <w:vAlign w:val="center"/>
          </w:tcPr>
          <w:p w14:paraId="22C92B19">
            <w:pPr>
              <w:spacing w:line="480" w:lineRule="exact"/>
              <w:jc w:val="center"/>
              <w:rPr>
                <w:rFonts w:ascii="宋体"/>
                <w:color w:val="auto"/>
                <w:szCs w:val="21"/>
                <w:highlight w:val="none"/>
              </w:rPr>
            </w:pPr>
            <w:r>
              <w:rPr>
                <w:rFonts w:ascii="宋体" w:hAnsi="宋体"/>
                <w:color w:val="auto"/>
                <w:szCs w:val="21"/>
                <w:highlight w:val="none"/>
              </w:rPr>
              <w:t>22</w:t>
            </w:r>
          </w:p>
        </w:tc>
        <w:tc>
          <w:tcPr>
            <w:tcW w:w="1734" w:type="dxa"/>
            <w:tcBorders>
              <w:top w:val="single" w:color="auto" w:sz="4" w:space="0"/>
              <w:left w:val="single" w:color="auto" w:sz="4" w:space="0"/>
              <w:bottom w:val="single" w:color="auto" w:sz="4" w:space="0"/>
              <w:right w:val="single" w:color="auto" w:sz="4" w:space="0"/>
            </w:tcBorders>
            <w:vAlign w:val="center"/>
          </w:tcPr>
          <w:p w14:paraId="38D004E0">
            <w:pPr>
              <w:spacing w:line="480" w:lineRule="exact"/>
              <w:jc w:val="center"/>
              <w:rPr>
                <w:rFonts w:ascii="宋体"/>
                <w:color w:val="auto"/>
                <w:szCs w:val="21"/>
                <w:highlight w:val="none"/>
              </w:rPr>
            </w:pPr>
            <w:r>
              <w:rPr>
                <w:rFonts w:hint="eastAsia" w:ascii="宋体" w:hAnsi="宋体"/>
                <w:color w:val="auto"/>
                <w:szCs w:val="21"/>
                <w:highlight w:val="none"/>
              </w:rPr>
              <w:t>付款方式</w:t>
            </w:r>
          </w:p>
        </w:tc>
        <w:tc>
          <w:tcPr>
            <w:tcW w:w="6480" w:type="dxa"/>
            <w:tcBorders>
              <w:top w:val="single" w:color="auto" w:sz="4" w:space="0"/>
              <w:left w:val="single" w:color="auto" w:sz="4" w:space="0"/>
              <w:bottom w:val="single" w:color="auto" w:sz="4" w:space="0"/>
            </w:tcBorders>
            <w:vAlign w:val="center"/>
          </w:tcPr>
          <w:p w14:paraId="2EC81FE9">
            <w:pPr>
              <w:keepNext w:val="0"/>
              <w:keepLines w:val="0"/>
              <w:widowControl/>
              <w:suppressLineNumbers w:val="0"/>
              <w:jc w:val="left"/>
              <w:rPr>
                <w:rFonts w:ascii="宋体"/>
                <w:color w:val="auto"/>
                <w:szCs w:val="21"/>
                <w:highlight w:val="none"/>
              </w:rPr>
            </w:pPr>
            <w:r>
              <w:rPr>
                <w:rFonts w:hint="eastAsia" w:ascii="宋体" w:hAnsi="宋体" w:cs="宋体"/>
                <w:b/>
                <w:bCs/>
                <w:color w:val="auto"/>
                <w:kern w:val="0"/>
                <w:sz w:val="24"/>
                <w:szCs w:val="24"/>
                <w:highlight w:val="none"/>
                <w:lang w:val="en-US" w:eastAsia="zh-CN" w:bidi="ar"/>
              </w:rPr>
              <w:t>全部货物交至指定地点，安装调试并经验收合格后一次性付清。</w:t>
            </w:r>
          </w:p>
        </w:tc>
      </w:tr>
      <w:tr w14:paraId="1A1B6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jc w:val="center"/>
        </w:trPr>
        <w:tc>
          <w:tcPr>
            <w:tcW w:w="786" w:type="dxa"/>
            <w:tcBorders>
              <w:top w:val="single" w:color="auto" w:sz="4" w:space="0"/>
              <w:bottom w:val="single" w:color="auto" w:sz="4" w:space="0"/>
              <w:right w:val="single" w:color="auto" w:sz="4" w:space="0"/>
            </w:tcBorders>
            <w:vAlign w:val="center"/>
          </w:tcPr>
          <w:p w14:paraId="55D0330E">
            <w:pPr>
              <w:spacing w:line="48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35DAAEE">
            <w:pPr>
              <w:spacing w:line="48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响应</w:t>
            </w:r>
            <w:r>
              <w:rPr>
                <w:rFonts w:hint="eastAsia" w:ascii="宋体" w:hAnsi="宋体"/>
                <w:color w:val="auto"/>
                <w:szCs w:val="21"/>
                <w:highlight w:val="none"/>
                <w:lang w:val="en-US" w:eastAsia="zh-CN"/>
              </w:rPr>
              <w:t>最后</w:t>
            </w:r>
            <w:r>
              <w:rPr>
                <w:rFonts w:hint="eastAsia" w:ascii="宋体" w:hAnsi="宋体"/>
                <w:color w:val="auto"/>
                <w:szCs w:val="21"/>
                <w:highlight w:val="none"/>
              </w:rPr>
              <w:t>报价扣除</w:t>
            </w:r>
            <w:r>
              <w:rPr>
                <w:rFonts w:hint="eastAsia" w:ascii="宋体" w:hAnsi="宋体"/>
                <w:i w:val="0"/>
                <w:iCs w:val="0"/>
                <w:color w:val="auto"/>
                <w:szCs w:val="21"/>
                <w:highlight w:val="none"/>
              </w:rPr>
              <w:t>（非专门面向中小企业采购项目适用）</w:t>
            </w:r>
          </w:p>
        </w:tc>
        <w:tc>
          <w:tcPr>
            <w:tcW w:w="6480" w:type="dxa"/>
            <w:tcBorders>
              <w:top w:val="single" w:color="auto" w:sz="4" w:space="0"/>
              <w:left w:val="single" w:color="auto" w:sz="4" w:space="0"/>
              <w:bottom w:val="single" w:color="auto" w:sz="4" w:space="0"/>
            </w:tcBorders>
            <w:shd w:val="clear" w:color="auto" w:fill="auto"/>
            <w:vAlign w:val="center"/>
          </w:tcPr>
          <w:p w14:paraId="20D8613A">
            <w:pPr>
              <w:spacing w:line="42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0090A808">
            <w:pPr>
              <w:spacing w:line="42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258ABED1">
            <w:pPr>
              <w:spacing w:line="42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0E04BE89">
            <w:pPr>
              <w:spacing w:line="42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）符合条件的联合体价格扣除:</w:t>
            </w:r>
            <w:r>
              <w:rPr>
                <w:rFonts w:hint="eastAsia" w:ascii="宋体" w:hAnsi="宋体"/>
                <w:strike w:val="0"/>
                <w:dstrike w:val="0"/>
                <w:color w:val="auto"/>
                <w:sz w:val="21"/>
                <w:szCs w:val="21"/>
                <w:highlight w:val="none"/>
                <w:lang w:val="en-US" w:eastAsia="zh-CN"/>
              </w:rPr>
              <w:t>4%</w:t>
            </w:r>
            <w:r>
              <w:rPr>
                <w:rFonts w:hint="eastAsia" w:ascii="宋体" w:hAnsi="宋体"/>
                <w:strike w:val="0"/>
                <w:dstrike w:val="0"/>
                <w:color w:val="auto"/>
                <w:sz w:val="21"/>
                <w:szCs w:val="21"/>
                <w:highlight w:val="none"/>
              </w:rPr>
              <w:t>（本项目不采用）</w:t>
            </w:r>
            <w:r>
              <w:rPr>
                <w:rFonts w:hint="eastAsia" w:ascii="宋体" w:hAnsi="宋体"/>
                <w:color w:val="auto"/>
                <w:szCs w:val="21"/>
                <w:highlight w:val="none"/>
              </w:rPr>
              <w:t>。</w:t>
            </w:r>
          </w:p>
          <w:p w14:paraId="2EA1F5D2">
            <w:pPr>
              <w:spacing w:line="42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）符合条件的向小微企业分包的大中型企业价格扣除:</w:t>
            </w:r>
            <w:r>
              <w:rPr>
                <w:rFonts w:hint="eastAsia" w:ascii="宋体" w:hAnsi="宋体"/>
                <w:strike w:val="0"/>
                <w:dstrike w:val="0"/>
                <w:color w:val="auto"/>
                <w:sz w:val="21"/>
                <w:szCs w:val="21"/>
                <w:highlight w:val="none"/>
                <w:lang w:val="en-US" w:eastAsia="zh-CN"/>
              </w:rPr>
              <w:t>4%</w:t>
            </w:r>
            <w:r>
              <w:rPr>
                <w:rFonts w:hint="eastAsia" w:ascii="宋体" w:hAnsi="宋体"/>
                <w:strike w:val="0"/>
                <w:dstrike w:val="0"/>
                <w:color w:val="auto"/>
                <w:sz w:val="21"/>
                <w:szCs w:val="21"/>
                <w:highlight w:val="none"/>
              </w:rPr>
              <w:t>（本项目不采用）</w:t>
            </w:r>
            <w:r>
              <w:rPr>
                <w:rFonts w:hint="eastAsia" w:ascii="宋体" w:hAnsi="宋体"/>
                <w:color w:val="auto"/>
                <w:szCs w:val="21"/>
                <w:highlight w:val="none"/>
              </w:rPr>
              <w:t>。</w:t>
            </w:r>
          </w:p>
        </w:tc>
      </w:tr>
      <w:tr w14:paraId="1FC3A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786" w:type="dxa"/>
            <w:tcBorders>
              <w:top w:val="single" w:color="auto" w:sz="4" w:space="0"/>
              <w:bottom w:val="single" w:color="auto" w:sz="4" w:space="0"/>
              <w:right w:val="single" w:color="auto" w:sz="4" w:space="0"/>
            </w:tcBorders>
            <w:vAlign w:val="center"/>
          </w:tcPr>
          <w:p w14:paraId="2CD3DAB2">
            <w:pPr>
              <w:spacing w:line="480" w:lineRule="exact"/>
              <w:jc w:val="center"/>
              <w:rPr>
                <w:rFonts w:asci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p>
        </w:tc>
        <w:tc>
          <w:tcPr>
            <w:tcW w:w="1734" w:type="dxa"/>
            <w:tcBorders>
              <w:top w:val="single" w:color="auto" w:sz="4" w:space="0"/>
              <w:left w:val="single" w:color="auto" w:sz="4" w:space="0"/>
              <w:bottom w:val="single" w:color="auto" w:sz="4" w:space="0"/>
              <w:right w:val="single" w:color="auto" w:sz="4" w:space="0"/>
            </w:tcBorders>
            <w:vAlign w:val="center"/>
          </w:tcPr>
          <w:p w14:paraId="2DDC1B31">
            <w:pPr>
              <w:spacing w:line="480" w:lineRule="exact"/>
              <w:jc w:val="center"/>
              <w:rPr>
                <w:rFonts w:ascii="宋体"/>
                <w:color w:val="auto"/>
                <w:szCs w:val="21"/>
                <w:highlight w:val="none"/>
              </w:rPr>
            </w:pPr>
            <w:r>
              <w:rPr>
                <w:rFonts w:hint="eastAsia" w:ascii="宋体" w:hAnsi="宋体"/>
                <w:color w:val="auto"/>
                <w:szCs w:val="21"/>
                <w:highlight w:val="none"/>
              </w:rPr>
              <w:t>说明</w:t>
            </w:r>
          </w:p>
        </w:tc>
        <w:tc>
          <w:tcPr>
            <w:tcW w:w="6480" w:type="dxa"/>
            <w:tcBorders>
              <w:top w:val="single" w:color="auto" w:sz="4" w:space="0"/>
              <w:left w:val="single" w:color="auto" w:sz="4" w:space="0"/>
              <w:bottom w:val="single" w:color="auto" w:sz="4" w:space="0"/>
            </w:tcBorders>
            <w:vAlign w:val="center"/>
          </w:tcPr>
          <w:p w14:paraId="1FFFBECA">
            <w:pPr>
              <w:spacing w:line="480" w:lineRule="exact"/>
              <w:rPr>
                <w:rFonts w:ascii="宋体" w:hAnsi="宋体"/>
                <w:color w:val="auto"/>
                <w:szCs w:val="21"/>
                <w:highlight w:val="none"/>
              </w:rPr>
            </w:pPr>
            <w:r>
              <w:rPr>
                <w:rFonts w:hint="eastAsia" w:ascii="宋体" w:hAnsi="宋体"/>
                <w:color w:val="auto"/>
                <w:szCs w:val="21"/>
                <w:highlight w:val="none"/>
              </w:rPr>
              <w:t>1、本磋商文件的解释权归采购单位。</w:t>
            </w:r>
          </w:p>
          <w:p w14:paraId="6FA8AEEA">
            <w:pPr>
              <w:spacing w:line="480" w:lineRule="exact"/>
              <w:rPr>
                <w:rFonts w:ascii="宋体"/>
                <w:color w:val="auto"/>
                <w:szCs w:val="21"/>
                <w:highlight w:val="none"/>
              </w:rPr>
            </w:pPr>
            <w:r>
              <w:rPr>
                <w:rFonts w:hint="eastAsia" w:ascii="宋体" w:hAnsi="宋体" w:cs="宋体"/>
                <w:b/>
                <w:color w:val="auto"/>
                <w:szCs w:val="21"/>
                <w:highlight w:val="none"/>
              </w:rPr>
              <w:t>2、本项目所要求的业绩均须为中华人民共和国境内业绩（不含港澳台地区），成交供应商经磋商小组评审认可的相关业绩、奖项、证书将在</w:t>
            </w:r>
            <w:r>
              <w:rPr>
                <w:rFonts w:hint="eastAsia" w:ascii="宋体" w:hAnsi="宋体" w:cs="宋体"/>
                <w:b/>
                <w:color w:val="auto"/>
                <w:szCs w:val="21"/>
                <w:highlight w:val="none"/>
                <w:lang w:eastAsia="zh-CN"/>
              </w:rPr>
              <w:t>安徽泰杰工程咨询有限公司网站和潜山市中医院网站</w:t>
            </w:r>
            <w:r>
              <w:rPr>
                <w:rFonts w:hint="eastAsia" w:ascii="宋体" w:hAnsi="宋体" w:cs="宋体"/>
                <w:b/>
                <w:color w:val="auto"/>
                <w:szCs w:val="21"/>
                <w:highlight w:val="none"/>
              </w:rPr>
              <w:t>公告（如投标供应商相关业绩、证书属于涉密的，投标供应商须在响应文件中进行说明，且提供主管部门出具的证明材料，涉密部分不予公告）。</w:t>
            </w:r>
          </w:p>
        </w:tc>
      </w:tr>
    </w:tbl>
    <w:p w14:paraId="29565D0C">
      <w:pPr>
        <w:pStyle w:val="3"/>
        <w:jc w:val="both"/>
        <w:outlineLvl w:val="9"/>
        <w:rPr>
          <w:rFonts w:cs="Tahoma"/>
          <w:bCs/>
          <w:color w:val="auto"/>
          <w:kern w:val="0"/>
          <w:sz w:val="32"/>
          <w:szCs w:val="32"/>
          <w:highlight w:val="none"/>
          <w:lang w:val="zh-CN"/>
        </w:rPr>
      </w:pPr>
      <w:bookmarkStart w:id="133" w:name="_Toc439316872"/>
    </w:p>
    <w:p w14:paraId="00D70D09">
      <w:pPr>
        <w:pStyle w:val="4"/>
        <w:rPr>
          <w:rFonts w:ascii="宋体" w:hAnsi="宋体"/>
          <w:color w:val="auto"/>
          <w:kern w:val="0"/>
          <w:highlight w:val="none"/>
          <w:lang w:val="zh-CN"/>
        </w:rPr>
      </w:pPr>
      <w:r>
        <w:rPr>
          <w:color w:val="auto"/>
          <w:kern w:val="0"/>
          <w:highlight w:val="none"/>
          <w:lang w:val="zh-CN"/>
        </w:rPr>
        <w:br w:type="page"/>
      </w:r>
    </w:p>
    <w:p w14:paraId="1B9A9B17">
      <w:pPr>
        <w:pStyle w:val="2"/>
        <w:tabs>
          <w:tab w:val="clear" w:pos="1440"/>
          <w:tab w:val="clear" w:pos="5670"/>
        </w:tabs>
        <w:spacing w:beforeLines="0" w:afterLines="0"/>
        <w:ind w:firstLine="0" w:firstLineChars="0"/>
        <w:jc w:val="center"/>
        <w:outlineLvl w:val="1"/>
        <w:rPr>
          <w:rFonts w:ascii="宋体" w:hAnsi="宋体" w:eastAsia="宋体" w:cs="Tahoma"/>
          <w:bCs/>
          <w:color w:val="auto"/>
          <w:kern w:val="0"/>
          <w:sz w:val="32"/>
          <w:szCs w:val="32"/>
          <w:highlight w:val="none"/>
          <w:lang w:val="zh-CN"/>
        </w:rPr>
      </w:pPr>
      <w:bookmarkStart w:id="134" w:name="_Toc7536"/>
      <w:bookmarkStart w:id="135" w:name="_Toc23232"/>
      <w:bookmarkStart w:id="136" w:name="_Toc20008"/>
      <w:bookmarkStart w:id="137" w:name="_Toc24118"/>
      <w:bookmarkStart w:id="138" w:name="_Toc9149"/>
      <w:bookmarkStart w:id="139" w:name="_Toc24497"/>
      <w:r>
        <w:rPr>
          <w:rFonts w:hint="eastAsia" w:ascii="宋体" w:hAnsi="宋体" w:eastAsia="宋体" w:cs="Tahoma"/>
          <w:bCs/>
          <w:color w:val="auto"/>
          <w:kern w:val="0"/>
          <w:sz w:val="32"/>
          <w:szCs w:val="32"/>
          <w:highlight w:val="none"/>
          <w:lang w:val="zh-CN"/>
        </w:rPr>
        <w:t>第二节</w:t>
      </w:r>
      <w:r>
        <w:rPr>
          <w:rFonts w:ascii="宋体" w:hAnsi="宋体" w:eastAsia="宋体" w:cs="Tahoma"/>
          <w:bCs/>
          <w:color w:val="auto"/>
          <w:kern w:val="0"/>
          <w:sz w:val="32"/>
          <w:szCs w:val="32"/>
          <w:highlight w:val="none"/>
          <w:lang w:val="zh-CN"/>
        </w:rPr>
        <w:t xml:space="preserve"> </w:t>
      </w:r>
      <w:r>
        <w:rPr>
          <w:rFonts w:hint="eastAsia" w:ascii="宋体" w:hAnsi="宋体" w:eastAsia="宋体" w:cs="Tahoma"/>
          <w:bCs/>
          <w:color w:val="auto"/>
          <w:kern w:val="0"/>
          <w:sz w:val="32"/>
          <w:szCs w:val="32"/>
          <w:highlight w:val="none"/>
          <w:lang w:val="zh-CN"/>
        </w:rPr>
        <w:t>竞争性磋商须知</w:t>
      </w:r>
      <w:bookmarkEnd w:id="133"/>
      <w:bookmarkEnd w:id="134"/>
      <w:bookmarkEnd w:id="135"/>
      <w:bookmarkEnd w:id="136"/>
      <w:bookmarkEnd w:id="137"/>
      <w:bookmarkEnd w:id="138"/>
      <w:bookmarkEnd w:id="139"/>
    </w:p>
    <w:p w14:paraId="261571F8">
      <w:pPr>
        <w:autoSpaceDE w:val="0"/>
        <w:autoSpaceDN w:val="0"/>
        <w:adjustRightInd w:val="0"/>
        <w:snapToGrid w:val="0"/>
        <w:spacing w:line="480" w:lineRule="exact"/>
        <w:ind w:firstLine="420"/>
        <w:outlineLvl w:val="2"/>
        <w:rPr>
          <w:rFonts w:ascii="宋体"/>
          <w:b/>
          <w:bCs/>
          <w:color w:val="auto"/>
          <w:szCs w:val="21"/>
          <w:highlight w:val="none"/>
          <w:lang w:val="zh-CN"/>
        </w:rPr>
      </w:pPr>
      <w:bookmarkStart w:id="140" w:name="_Toc26902"/>
      <w:bookmarkStart w:id="141" w:name="_Toc32041"/>
      <w:bookmarkStart w:id="142" w:name="_Toc9990"/>
      <w:bookmarkStart w:id="143" w:name="_Toc7100"/>
      <w:bookmarkStart w:id="144" w:name="_Toc2995"/>
      <w:r>
        <w:rPr>
          <w:rFonts w:hint="eastAsia" w:ascii="宋体" w:hAnsi="宋体"/>
          <w:b/>
          <w:bCs/>
          <w:color w:val="auto"/>
          <w:szCs w:val="21"/>
          <w:highlight w:val="none"/>
          <w:lang w:val="zh-CN"/>
        </w:rPr>
        <w:t>一、总</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则</w:t>
      </w:r>
      <w:bookmarkEnd w:id="140"/>
      <w:bookmarkEnd w:id="141"/>
      <w:bookmarkEnd w:id="142"/>
      <w:bookmarkEnd w:id="143"/>
      <w:bookmarkEnd w:id="144"/>
    </w:p>
    <w:p w14:paraId="327CD534">
      <w:pPr>
        <w:autoSpaceDE w:val="0"/>
        <w:autoSpaceDN w:val="0"/>
        <w:adjustRightInd w:val="0"/>
        <w:spacing w:line="480" w:lineRule="exact"/>
        <w:ind w:firstLine="420"/>
        <w:outlineLvl w:val="3"/>
        <w:rPr>
          <w:rFonts w:ascii="宋体"/>
          <w:color w:val="auto"/>
          <w:szCs w:val="21"/>
          <w:highlight w:val="none"/>
          <w:lang w:val="zh-CN"/>
        </w:rPr>
      </w:pPr>
      <w:bookmarkStart w:id="145" w:name="_Toc439316919"/>
      <w:bookmarkStart w:id="146" w:name="_Toc15055"/>
      <w:bookmarkStart w:id="147" w:name="_Toc10523"/>
      <w:bookmarkStart w:id="148" w:name="_Toc21078"/>
      <w:bookmarkStart w:id="149" w:name="_Toc25270"/>
      <w:bookmarkStart w:id="150" w:name="_Toc22048"/>
      <w:bookmarkStart w:id="151" w:name="_Toc7325"/>
      <w:bookmarkStart w:id="152" w:name="_Toc439316873"/>
      <w:r>
        <w:rPr>
          <w:rFonts w:ascii="宋体"/>
          <w:color w:val="auto"/>
          <w:szCs w:val="21"/>
          <w:highlight w:val="none"/>
          <w:lang w:val="zh-CN"/>
        </w:rPr>
        <w:t>1</w:t>
      </w:r>
      <w:r>
        <w:rPr>
          <w:rFonts w:hint="eastAsia" w:ascii="宋体"/>
          <w:color w:val="auto"/>
          <w:szCs w:val="21"/>
          <w:highlight w:val="none"/>
          <w:lang w:val="zh-CN"/>
        </w:rPr>
        <w:t>、适用法律</w:t>
      </w:r>
      <w:bookmarkEnd w:id="145"/>
      <w:bookmarkEnd w:id="146"/>
      <w:bookmarkEnd w:id="147"/>
      <w:bookmarkEnd w:id="148"/>
      <w:bookmarkEnd w:id="149"/>
      <w:bookmarkEnd w:id="150"/>
      <w:bookmarkEnd w:id="151"/>
      <w:bookmarkEnd w:id="152"/>
    </w:p>
    <w:p w14:paraId="174B8B48">
      <w:pPr>
        <w:autoSpaceDE w:val="0"/>
        <w:autoSpaceDN w:val="0"/>
        <w:adjustRightInd w:val="0"/>
        <w:spacing w:line="480" w:lineRule="exact"/>
        <w:ind w:firstLine="420"/>
        <w:rPr>
          <w:rFonts w:ascii="宋体"/>
          <w:color w:val="auto"/>
          <w:szCs w:val="21"/>
          <w:highlight w:val="none"/>
          <w:lang w:val="zh-CN"/>
        </w:rPr>
      </w:pPr>
      <w:r>
        <w:rPr>
          <w:rFonts w:ascii="宋体"/>
          <w:color w:val="auto"/>
          <w:szCs w:val="21"/>
          <w:highlight w:val="none"/>
          <w:lang w:val="zh-CN"/>
        </w:rPr>
        <w:t xml:space="preserve">1.1 </w:t>
      </w:r>
      <w:r>
        <w:rPr>
          <w:rFonts w:hint="eastAsia" w:ascii="宋体"/>
          <w:color w:val="auto"/>
          <w:szCs w:val="21"/>
          <w:highlight w:val="none"/>
          <w:lang w:val="zh-CN"/>
        </w:rPr>
        <w:t>依据《</w:t>
      </w:r>
      <w:r>
        <w:rPr>
          <w:rFonts w:hint="eastAsia" w:ascii="??" w:hAnsi="??"/>
          <w:bCs/>
          <w:color w:val="auto"/>
          <w:szCs w:val="21"/>
          <w:highlight w:val="none"/>
        </w:rPr>
        <w:t>政府采购竞争性磋商采购方式管理暂行办法</w:t>
      </w:r>
      <w:r>
        <w:rPr>
          <w:rFonts w:hint="eastAsia" w:ascii="宋体"/>
          <w:color w:val="auto"/>
          <w:szCs w:val="21"/>
          <w:highlight w:val="none"/>
          <w:lang w:val="zh-CN"/>
        </w:rPr>
        <w:t>》并参照《中华人民共和国政府采购法》、《中华人民共和国政府采购法实施条例》等有关法律、规章和规定等。</w:t>
      </w:r>
    </w:p>
    <w:p w14:paraId="6564765A">
      <w:pPr>
        <w:autoSpaceDE w:val="0"/>
        <w:autoSpaceDN w:val="0"/>
        <w:adjustRightInd w:val="0"/>
        <w:spacing w:line="480" w:lineRule="exact"/>
        <w:ind w:firstLine="420"/>
        <w:outlineLvl w:val="3"/>
        <w:rPr>
          <w:rFonts w:ascii="宋体"/>
          <w:b/>
          <w:color w:val="auto"/>
          <w:szCs w:val="21"/>
          <w:highlight w:val="none"/>
          <w:lang w:val="zh-CN"/>
        </w:rPr>
      </w:pPr>
      <w:bookmarkStart w:id="153" w:name="_Toc18726"/>
      <w:bookmarkStart w:id="154" w:name="_Toc1704"/>
      <w:bookmarkStart w:id="155" w:name="_Toc8228"/>
      <w:bookmarkStart w:id="156" w:name="_Toc439316874"/>
      <w:bookmarkStart w:id="157" w:name="_Toc27113"/>
      <w:bookmarkStart w:id="158" w:name="_Toc24643"/>
      <w:bookmarkStart w:id="159" w:name="_Toc439316920"/>
      <w:bookmarkStart w:id="160" w:name="_Toc10933"/>
      <w:r>
        <w:rPr>
          <w:rFonts w:ascii="宋体"/>
          <w:b/>
          <w:color w:val="auto"/>
          <w:szCs w:val="21"/>
          <w:highlight w:val="none"/>
          <w:lang w:val="zh-CN"/>
        </w:rPr>
        <w:t>2</w:t>
      </w:r>
      <w:r>
        <w:rPr>
          <w:rFonts w:hint="eastAsia" w:ascii="宋体"/>
          <w:b/>
          <w:color w:val="auto"/>
          <w:szCs w:val="21"/>
          <w:highlight w:val="none"/>
          <w:lang w:val="zh-CN"/>
        </w:rPr>
        <w:t>、定义</w:t>
      </w:r>
      <w:bookmarkEnd w:id="153"/>
      <w:bookmarkEnd w:id="154"/>
      <w:bookmarkEnd w:id="155"/>
      <w:bookmarkEnd w:id="156"/>
      <w:bookmarkEnd w:id="157"/>
      <w:bookmarkEnd w:id="158"/>
      <w:bookmarkEnd w:id="159"/>
      <w:bookmarkEnd w:id="160"/>
    </w:p>
    <w:p w14:paraId="6403D4A4">
      <w:pPr>
        <w:spacing w:line="360" w:lineRule="auto"/>
        <w:ind w:firstLine="420" w:firstLineChars="200"/>
        <w:outlineLvl w:val="4"/>
        <w:rPr>
          <w:rFonts w:ascii="宋体"/>
          <w:color w:val="auto"/>
          <w:szCs w:val="21"/>
          <w:highlight w:val="none"/>
        </w:rPr>
      </w:pPr>
      <w:r>
        <w:rPr>
          <w:rFonts w:ascii="宋体" w:hAnsi="宋体"/>
          <w:color w:val="auto"/>
          <w:szCs w:val="21"/>
          <w:highlight w:val="none"/>
        </w:rPr>
        <w:t>2.1</w:t>
      </w:r>
      <w:r>
        <w:rPr>
          <w:rFonts w:hint="eastAsia" w:ascii="宋体" w:hAnsi="宋体"/>
          <w:color w:val="auto"/>
          <w:szCs w:val="21"/>
          <w:highlight w:val="none"/>
        </w:rPr>
        <w:t>、采购单位是指采购人和采购代理机构。</w:t>
      </w:r>
    </w:p>
    <w:p w14:paraId="6245746E">
      <w:pPr>
        <w:spacing w:line="360" w:lineRule="auto"/>
        <w:ind w:firstLine="420" w:firstLineChars="200"/>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、供应商是指对“磋商须知前附表”序号</w:t>
      </w:r>
      <w:r>
        <w:rPr>
          <w:rFonts w:ascii="宋体" w:hAnsi="宋体"/>
          <w:color w:val="auto"/>
          <w:szCs w:val="21"/>
          <w:highlight w:val="none"/>
        </w:rPr>
        <w:t>2</w:t>
      </w:r>
      <w:r>
        <w:rPr>
          <w:rFonts w:hint="eastAsia" w:ascii="宋体" w:hAnsi="宋体"/>
          <w:color w:val="auto"/>
          <w:szCs w:val="21"/>
          <w:highlight w:val="none"/>
        </w:rPr>
        <w:t>所指的项目表现出兴趣，按照约定的程序，从采购单位获取了磋商文件，并实际参与了该项目磋商活动的供应商。</w:t>
      </w:r>
    </w:p>
    <w:p w14:paraId="3AC3E0CA">
      <w:pPr>
        <w:spacing w:line="360" w:lineRule="auto"/>
        <w:ind w:firstLine="422" w:firstLineChars="200"/>
        <w:outlineLvl w:val="3"/>
        <w:rPr>
          <w:rFonts w:asci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、供应商资格要求</w:t>
      </w:r>
    </w:p>
    <w:p w14:paraId="47722CD6">
      <w:pPr>
        <w:spacing w:line="360" w:lineRule="auto"/>
        <w:ind w:firstLine="420" w:firstLineChars="200"/>
        <w:rPr>
          <w:rFonts w:asci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、参与本项目的供应商必须满足以下要求：见磋商须知前附表。</w:t>
      </w:r>
      <w:r>
        <w:rPr>
          <w:rFonts w:ascii="宋体" w:hAnsi="宋体"/>
          <w:color w:val="auto"/>
          <w:szCs w:val="21"/>
          <w:highlight w:val="none"/>
        </w:rPr>
        <w:t xml:space="preserve"> </w:t>
      </w:r>
    </w:p>
    <w:p w14:paraId="16A8A45A">
      <w:pPr>
        <w:spacing w:line="360" w:lineRule="auto"/>
        <w:ind w:left="5" w:firstLine="413" w:firstLineChars="197"/>
        <w:rPr>
          <w:rFonts w:ascii="宋体"/>
          <w:color w:val="auto"/>
          <w:szCs w:val="21"/>
          <w:highlight w:val="none"/>
        </w:rPr>
      </w:pPr>
      <w:r>
        <w:rPr>
          <w:rFonts w:ascii="宋体" w:hAnsi="宋体"/>
          <w:color w:val="auto"/>
          <w:szCs w:val="21"/>
          <w:highlight w:val="none"/>
        </w:rPr>
        <w:t>3.2</w:t>
      </w:r>
      <w:r>
        <w:rPr>
          <w:rFonts w:hint="eastAsia" w:ascii="宋体" w:hAnsi="宋体"/>
          <w:color w:val="auto"/>
          <w:szCs w:val="21"/>
          <w:highlight w:val="none"/>
        </w:rPr>
        <w:t>、供应商之间如果存在下列情形之一的，不得同时参加同一包别或者不分包别的同一项目磋商：</w:t>
      </w:r>
    </w:p>
    <w:p w14:paraId="6DF0E3B7">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单位负责人为同一人或者存在直接控股、管理关系的不同供应商</w:t>
      </w:r>
      <w:r>
        <w:rPr>
          <w:rFonts w:hint="eastAsia" w:ascii="宋体" w:hAnsi="宋体" w:cs="宋体"/>
          <w:color w:val="auto"/>
          <w:szCs w:val="21"/>
          <w:highlight w:val="none"/>
        </w:rPr>
        <w:t>；</w:t>
      </w:r>
    </w:p>
    <w:p w14:paraId="3C1404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除单一来源采购项目外，为采购项目提供整体设计、规范编制或者项目管理、监理、检测等服务的供应商</w:t>
      </w:r>
      <w:r>
        <w:rPr>
          <w:rFonts w:hint="eastAsia" w:ascii="宋体" w:hAnsi="宋体" w:cs="宋体"/>
          <w:color w:val="auto"/>
          <w:szCs w:val="21"/>
          <w:highlight w:val="none"/>
        </w:rPr>
        <w:t>。</w:t>
      </w:r>
    </w:p>
    <w:p w14:paraId="428C639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w:t>
      </w:r>
      <w:r>
        <w:rPr>
          <w:rFonts w:hint="eastAsia" w:ascii="宋体" w:hAnsi="宋体"/>
          <w:color w:val="auto"/>
          <w:szCs w:val="21"/>
          <w:highlight w:val="none"/>
        </w:rPr>
        <w:t>、</w:t>
      </w:r>
      <w:r>
        <w:rPr>
          <w:rFonts w:hint="eastAsia" w:ascii="Arial" w:hAnsi="Arial" w:cs="Arial"/>
          <w:color w:val="auto"/>
          <w:szCs w:val="24"/>
          <w:highlight w:val="none"/>
        </w:rPr>
        <w:t>银行、保险、石油化工、电力、电信等特殊行业的分公司参与磋商，须取得总公司的相关授权（磋商</w:t>
      </w:r>
      <w:r>
        <w:rPr>
          <w:rFonts w:hint="eastAsia" w:ascii="宋体" w:hAnsi="宋体" w:cs="宋体"/>
          <w:color w:val="auto"/>
          <w:szCs w:val="21"/>
          <w:highlight w:val="none"/>
        </w:rPr>
        <w:t>响应</w:t>
      </w:r>
      <w:r>
        <w:rPr>
          <w:rFonts w:hint="eastAsia" w:ascii="Arial" w:hAnsi="Arial" w:cs="Arial"/>
          <w:color w:val="auto"/>
          <w:szCs w:val="24"/>
          <w:highlight w:val="none"/>
        </w:rPr>
        <w:t>文件中须提供）；银行、保险、石油化工、电力、电信等特殊行业的分公司取得总公司相关授权后，磋商文件中关于法定代表人的要求事项可由分公司负责人代理。</w:t>
      </w:r>
    </w:p>
    <w:p w14:paraId="21997D00">
      <w:pPr>
        <w:spacing w:line="360" w:lineRule="auto"/>
        <w:ind w:firstLine="420" w:firstLineChars="200"/>
        <w:rPr>
          <w:rFonts w:asci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、供应商必须确保自己信息真实、准确，否则，供应商因此蒙受损失，采购单位概不负责。</w:t>
      </w:r>
    </w:p>
    <w:p w14:paraId="1AF9FB8F">
      <w:pPr>
        <w:autoSpaceDE w:val="0"/>
        <w:autoSpaceDN w:val="0"/>
        <w:adjustRightInd w:val="0"/>
        <w:snapToGrid w:val="0"/>
        <w:spacing w:line="540" w:lineRule="exact"/>
        <w:ind w:firstLine="420"/>
        <w:rPr>
          <w:rFonts w:ascii="宋体"/>
          <w:color w:val="auto"/>
          <w:szCs w:val="21"/>
          <w:highlight w:val="none"/>
        </w:rPr>
      </w:pPr>
      <w:r>
        <w:rPr>
          <w:b/>
          <w:color w:val="auto"/>
          <w:szCs w:val="21"/>
          <w:highlight w:val="none"/>
        </w:rPr>
        <w:t>4</w:t>
      </w:r>
      <w:r>
        <w:rPr>
          <w:rFonts w:hint="eastAsia"/>
          <w:b/>
          <w:color w:val="auto"/>
          <w:szCs w:val="21"/>
          <w:highlight w:val="none"/>
        </w:rPr>
        <w:t>、踏勘现场：</w:t>
      </w:r>
      <w:r>
        <w:rPr>
          <w:rFonts w:hint="eastAsia"/>
          <w:bCs/>
          <w:color w:val="auto"/>
          <w:szCs w:val="21"/>
          <w:highlight w:val="none"/>
        </w:rPr>
        <w:t>供应商</w:t>
      </w:r>
      <w:r>
        <w:rPr>
          <w:rFonts w:hint="eastAsia" w:ascii="宋体" w:hAnsi="宋体"/>
          <w:bCs/>
          <w:color w:val="auto"/>
          <w:szCs w:val="21"/>
          <w:highlight w:val="none"/>
        </w:rPr>
        <w:t>自行踏勘现场。</w:t>
      </w:r>
      <w:r>
        <w:rPr>
          <w:rFonts w:hint="eastAsia" w:ascii="宋体" w:hAnsi="宋体"/>
          <w:color w:val="auto"/>
          <w:szCs w:val="21"/>
          <w:highlight w:val="none"/>
        </w:rPr>
        <w:t>供应商应认真对现场环境进行踏勘，对项目环境和影响等素，做出理性的判断和估价。成交后签订合同时和供货安装过程中，供应商不得以不完全了解或不了解现场情况为由，提出任何形式的增加费用或索赔的要求。</w:t>
      </w:r>
    </w:p>
    <w:p w14:paraId="4A9B730C">
      <w:pPr>
        <w:autoSpaceDE w:val="0"/>
        <w:autoSpaceDN w:val="0"/>
        <w:adjustRightInd w:val="0"/>
        <w:spacing w:line="540" w:lineRule="exact"/>
        <w:ind w:firstLine="420"/>
        <w:outlineLvl w:val="3"/>
        <w:rPr>
          <w:rFonts w:ascii="宋体" w:hAnsi="宋体"/>
          <w:b/>
          <w:bCs/>
          <w:color w:val="auto"/>
          <w:szCs w:val="21"/>
          <w:highlight w:val="none"/>
          <w:lang w:val="zh-CN"/>
        </w:rPr>
      </w:pPr>
      <w:r>
        <w:rPr>
          <w:rFonts w:ascii="宋体" w:hAnsi="宋体"/>
          <w:color w:val="auto"/>
          <w:szCs w:val="21"/>
          <w:highlight w:val="none"/>
          <w:lang w:val="zh-CN"/>
        </w:rPr>
        <w:t>5</w:t>
      </w:r>
      <w:r>
        <w:rPr>
          <w:rFonts w:hint="eastAsia" w:ascii="宋体" w:hAnsi="宋体"/>
          <w:b/>
          <w:bCs/>
          <w:color w:val="auto"/>
          <w:szCs w:val="21"/>
          <w:highlight w:val="none"/>
          <w:lang w:val="zh-CN"/>
        </w:rPr>
        <w:t>、联合体磋商：</w:t>
      </w:r>
    </w:p>
    <w:p w14:paraId="570C1D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5.1、除非本项目明确要求不接受联合体形式响应外，两个或两个以上供应商可以组成一个联合体，以一个供应商的身份响应。</w:t>
      </w:r>
    </w:p>
    <w:p w14:paraId="3B4A5C4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5.2、以联合体形式参加响应的，联合体各方均应当符合《政府采购法》第二十二条第一款规定的条件，根据采购项目的特殊要求规定供应商特定条件的，联合体各方中至少应当有一方符合。</w:t>
      </w:r>
    </w:p>
    <w:p w14:paraId="3C80E7A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5.3、联合体各方之间应当签订联合体协议，明确约定联合体各方应当承担的工作和相应的责任，并将联合体协议连同磋商响应文件一并提交采购单位。由同一专业的单位组成的联合体，按照同一资质等级较低的单位确定资质等级。联合体各方签订联合体协议后，不得再以自己的名义单独在同一项目中磋商响应，也不得组成新的联合体参加同一项目磋商响应。</w:t>
      </w:r>
    </w:p>
    <w:p w14:paraId="28B3A290">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5.4、联合体响应的，可以由联合体中的一方或者共同提交磋商响应保证金，以一方名义提交保证金的，对联合体各方均具有约束力。</w:t>
      </w:r>
    </w:p>
    <w:p w14:paraId="5BC6493A">
      <w:pPr>
        <w:autoSpaceDE w:val="0"/>
        <w:autoSpaceDN w:val="0"/>
        <w:adjustRightInd w:val="0"/>
        <w:snapToGrid w:val="0"/>
        <w:spacing w:line="480" w:lineRule="exact"/>
        <w:ind w:firstLine="420"/>
        <w:rPr>
          <w:rFonts w:ascii="宋体"/>
          <w:b/>
          <w:bCs/>
          <w:color w:val="auto"/>
          <w:szCs w:val="21"/>
          <w:highlight w:val="none"/>
          <w:lang w:val="zh-CN"/>
        </w:rPr>
      </w:pPr>
      <w:bookmarkStart w:id="161" w:name="_Toc439316875"/>
      <w:bookmarkStart w:id="162" w:name="_Toc439316921"/>
      <w:r>
        <w:rPr>
          <w:rFonts w:ascii="宋体" w:hAnsi="宋体"/>
          <w:b/>
          <w:color w:val="auto"/>
          <w:szCs w:val="21"/>
          <w:highlight w:val="none"/>
        </w:rPr>
        <w:t>6</w:t>
      </w:r>
      <w:r>
        <w:rPr>
          <w:rFonts w:hint="eastAsia" w:ascii="宋体" w:hAnsi="宋体"/>
          <w:b/>
          <w:color w:val="auto"/>
          <w:szCs w:val="21"/>
          <w:highlight w:val="none"/>
        </w:rPr>
        <w:t>、</w:t>
      </w:r>
      <w:r>
        <w:rPr>
          <w:rFonts w:hint="eastAsia" w:ascii="宋体" w:hAnsi="宋体"/>
          <w:b/>
          <w:bCs/>
          <w:color w:val="auto"/>
          <w:szCs w:val="21"/>
          <w:highlight w:val="none"/>
          <w:lang w:val="zh-CN"/>
        </w:rPr>
        <w:t>磋商费用：</w:t>
      </w:r>
      <w:r>
        <w:rPr>
          <w:rFonts w:hint="eastAsia" w:ascii="宋体" w:hAnsi="宋体"/>
          <w:color w:val="auto"/>
          <w:szCs w:val="21"/>
          <w:highlight w:val="none"/>
          <w:lang w:val="zh-CN"/>
        </w:rPr>
        <w:t>供应商必须自行承担参加磋商所有费用，无论成交与否，采购单位在任何情况下均无义务和责任承担这些费用。</w:t>
      </w:r>
      <w:bookmarkEnd w:id="161"/>
      <w:bookmarkEnd w:id="162"/>
    </w:p>
    <w:p w14:paraId="75A8C4F5">
      <w:pPr>
        <w:autoSpaceDE w:val="0"/>
        <w:autoSpaceDN w:val="0"/>
        <w:adjustRightInd w:val="0"/>
        <w:snapToGrid w:val="0"/>
        <w:spacing w:line="480" w:lineRule="exact"/>
        <w:ind w:firstLine="420"/>
        <w:outlineLvl w:val="2"/>
        <w:rPr>
          <w:rFonts w:ascii="宋体"/>
          <w:b/>
          <w:bCs/>
          <w:color w:val="auto"/>
          <w:szCs w:val="21"/>
          <w:highlight w:val="none"/>
          <w:lang w:val="zh-CN"/>
        </w:rPr>
      </w:pPr>
      <w:bookmarkStart w:id="163" w:name="_Toc23067"/>
      <w:bookmarkStart w:id="164" w:name="_Toc9626"/>
      <w:bookmarkStart w:id="165" w:name="_Toc295"/>
      <w:bookmarkStart w:id="166" w:name="_Toc29831"/>
      <w:bookmarkStart w:id="167" w:name="_Toc17727"/>
      <w:r>
        <w:rPr>
          <w:rFonts w:hint="eastAsia" w:ascii="宋体" w:hAnsi="宋体"/>
          <w:b/>
          <w:bCs/>
          <w:color w:val="auto"/>
          <w:szCs w:val="21"/>
          <w:highlight w:val="none"/>
          <w:lang w:val="zh-CN"/>
        </w:rPr>
        <w:t>二、磋商文件</w:t>
      </w:r>
      <w:bookmarkEnd w:id="163"/>
      <w:bookmarkEnd w:id="164"/>
      <w:bookmarkEnd w:id="165"/>
      <w:bookmarkEnd w:id="166"/>
      <w:bookmarkEnd w:id="167"/>
    </w:p>
    <w:p w14:paraId="60E25F44">
      <w:pPr>
        <w:spacing w:line="480" w:lineRule="exact"/>
        <w:ind w:firstLine="422" w:firstLineChars="200"/>
        <w:outlineLvl w:val="3"/>
        <w:rPr>
          <w:rFonts w:ascii="宋体"/>
          <w:b/>
          <w:color w:val="auto"/>
          <w:szCs w:val="21"/>
          <w:highlight w:val="none"/>
        </w:rPr>
      </w:pPr>
      <w:r>
        <w:rPr>
          <w:rFonts w:ascii="宋体" w:hAnsi="宋体"/>
          <w:b/>
          <w:color w:val="auto"/>
          <w:szCs w:val="21"/>
          <w:highlight w:val="none"/>
        </w:rPr>
        <w:t>7</w:t>
      </w:r>
      <w:r>
        <w:rPr>
          <w:rFonts w:hint="eastAsia" w:ascii="宋体" w:hAnsi="宋体"/>
          <w:b/>
          <w:color w:val="auto"/>
          <w:szCs w:val="21"/>
          <w:highlight w:val="none"/>
        </w:rPr>
        <w:t>、磋商文件的构成</w:t>
      </w:r>
    </w:p>
    <w:p w14:paraId="4A5EA117">
      <w:pPr>
        <w:spacing w:line="540" w:lineRule="exact"/>
        <w:ind w:firstLine="420" w:firstLineChars="200"/>
        <w:outlineLvl w:val="4"/>
        <w:rPr>
          <w:rFonts w:ascii="宋体"/>
          <w:color w:val="auto"/>
          <w:szCs w:val="21"/>
          <w:highlight w:val="none"/>
        </w:rPr>
      </w:pPr>
      <w:r>
        <w:rPr>
          <w:rFonts w:ascii="宋体" w:hAnsi="宋体"/>
          <w:color w:val="auto"/>
          <w:szCs w:val="21"/>
          <w:highlight w:val="none"/>
        </w:rPr>
        <w:t>7.1</w:t>
      </w:r>
      <w:r>
        <w:rPr>
          <w:rFonts w:hint="eastAsia" w:ascii="宋体" w:hAnsi="宋体"/>
          <w:color w:val="auto"/>
          <w:szCs w:val="21"/>
          <w:highlight w:val="none"/>
        </w:rPr>
        <w:t>、磋商文件包括：</w:t>
      </w:r>
    </w:p>
    <w:p w14:paraId="140CC5E3">
      <w:pPr>
        <w:spacing w:line="540" w:lineRule="exact"/>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）第一章</w:t>
      </w:r>
      <w:r>
        <w:rPr>
          <w:rFonts w:ascii="宋体" w:hAnsi="宋体"/>
          <w:color w:val="auto"/>
          <w:szCs w:val="21"/>
          <w:highlight w:val="none"/>
        </w:rPr>
        <w:t xml:space="preserve">  </w:t>
      </w:r>
      <w:r>
        <w:rPr>
          <w:rFonts w:hint="eastAsia" w:ascii="宋体" w:hAnsi="宋体"/>
          <w:color w:val="auto"/>
          <w:szCs w:val="21"/>
          <w:highlight w:val="none"/>
        </w:rPr>
        <w:t>竞争性磋商公告；</w:t>
      </w:r>
    </w:p>
    <w:p w14:paraId="4CB1D37A">
      <w:pPr>
        <w:spacing w:line="540" w:lineRule="exact"/>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）第二章</w:t>
      </w:r>
      <w:r>
        <w:rPr>
          <w:rFonts w:ascii="宋体" w:hAnsi="宋体"/>
          <w:color w:val="auto"/>
          <w:szCs w:val="21"/>
          <w:highlight w:val="none"/>
        </w:rPr>
        <w:t xml:space="preserve">  </w:t>
      </w:r>
      <w:r>
        <w:rPr>
          <w:rFonts w:hint="eastAsia" w:ascii="宋体" w:hAnsi="宋体"/>
          <w:color w:val="auto"/>
          <w:szCs w:val="21"/>
          <w:highlight w:val="none"/>
        </w:rPr>
        <w:t>磋商须知；</w:t>
      </w:r>
    </w:p>
    <w:p w14:paraId="45F8228F">
      <w:pPr>
        <w:spacing w:line="540" w:lineRule="exact"/>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）第三章</w:t>
      </w:r>
      <w:r>
        <w:rPr>
          <w:rFonts w:ascii="宋体" w:hAnsi="宋体"/>
          <w:color w:val="auto"/>
          <w:szCs w:val="21"/>
          <w:highlight w:val="none"/>
        </w:rPr>
        <w:t xml:space="preserve">  </w:t>
      </w:r>
      <w:r>
        <w:rPr>
          <w:rFonts w:hint="eastAsia" w:ascii="宋体" w:hAnsi="宋体"/>
          <w:color w:val="auto"/>
          <w:szCs w:val="21"/>
          <w:highlight w:val="none"/>
        </w:rPr>
        <w:t>服务需求及技术要求；</w:t>
      </w:r>
    </w:p>
    <w:p w14:paraId="5567C91B">
      <w:pPr>
        <w:spacing w:line="540" w:lineRule="exact"/>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）第四章</w:t>
      </w:r>
      <w:r>
        <w:rPr>
          <w:rFonts w:ascii="宋体" w:hAnsi="宋体"/>
          <w:color w:val="auto"/>
          <w:szCs w:val="21"/>
          <w:highlight w:val="none"/>
        </w:rPr>
        <w:t xml:space="preserve">  </w:t>
      </w:r>
      <w:r>
        <w:rPr>
          <w:rFonts w:hint="eastAsia" w:ascii="宋体" w:hAnsi="宋体"/>
          <w:color w:val="auto"/>
          <w:szCs w:val="21"/>
          <w:highlight w:val="none"/>
        </w:rPr>
        <w:t>合同主要条款；</w:t>
      </w:r>
    </w:p>
    <w:p w14:paraId="6465AAFA">
      <w:pPr>
        <w:spacing w:line="540" w:lineRule="exact"/>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）第五章</w:t>
      </w:r>
      <w:r>
        <w:rPr>
          <w:rFonts w:ascii="宋体" w:hAnsi="宋体"/>
          <w:color w:val="auto"/>
          <w:szCs w:val="21"/>
          <w:highlight w:val="none"/>
        </w:rPr>
        <w:t xml:space="preserve">  </w:t>
      </w:r>
      <w:r>
        <w:rPr>
          <w:rFonts w:hint="eastAsia"/>
          <w:color w:val="auto"/>
          <w:szCs w:val="21"/>
          <w:highlight w:val="none"/>
        </w:rPr>
        <w:t>响应文件格式</w:t>
      </w:r>
    </w:p>
    <w:p w14:paraId="72976D23">
      <w:pPr>
        <w:spacing w:line="540" w:lineRule="exact"/>
        <w:ind w:firstLine="420" w:firstLineChars="200"/>
        <w:rPr>
          <w:rFonts w:ascii="宋体"/>
          <w:color w:val="auto"/>
          <w:szCs w:val="21"/>
          <w:highlight w:val="none"/>
        </w:rPr>
      </w:pPr>
      <w:r>
        <w:rPr>
          <w:color w:val="auto"/>
          <w:szCs w:val="21"/>
          <w:highlight w:val="none"/>
        </w:rPr>
        <w:t xml:space="preserve"> </w:t>
      </w:r>
      <w:r>
        <w:rPr>
          <w:rFonts w:ascii="宋体" w:hAnsi="宋体"/>
          <w:color w:val="auto"/>
          <w:szCs w:val="21"/>
          <w:highlight w:val="none"/>
        </w:rPr>
        <w:t>7.2</w:t>
      </w:r>
      <w:r>
        <w:rPr>
          <w:rFonts w:hint="eastAsia" w:ascii="宋体" w:hAnsi="宋体"/>
          <w:color w:val="auto"/>
          <w:szCs w:val="21"/>
          <w:highlight w:val="none"/>
        </w:rPr>
        <w:t>、供应商应认真阅读和充分理解磋商文件中所有的内容。如果供应商没有满足磋商文件的有关要求，其风险由供应商自行承担。</w:t>
      </w:r>
    </w:p>
    <w:p w14:paraId="0455E7A5">
      <w:pPr>
        <w:spacing w:line="540" w:lineRule="exact"/>
        <w:ind w:firstLine="420" w:firstLineChars="200"/>
        <w:rPr>
          <w:rFonts w:ascii="宋体"/>
          <w:color w:val="auto"/>
          <w:szCs w:val="21"/>
          <w:highlight w:val="none"/>
        </w:rPr>
      </w:pPr>
      <w:r>
        <w:rPr>
          <w:rFonts w:ascii="宋体" w:hAnsi="宋体"/>
          <w:color w:val="auto"/>
          <w:szCs w:val="21"/>
          <w:highlight w:val="none"/>
        </w:rPr>
        <w:t>7.3</w:t>
      </w:r>
      <w:r>
        <w:rPr>
          <w:rFonts w:hint="eastAsia" w:ascii="宋体" w:hAnsi="宋体"/>
          <w:color w:val="auto"/>
          <w:szCs w:val="21"/>
          <w:highlight w:val="none"/>
        </w:rPr>
        <w:t>、供应商获取磋商文件后，应仔细检查磋商文件的所有内容，如有残缺、</w:t>
      </w:r>
      <w:r>
        <w:rPr>
          <w:rFonts w:hint="eastAsia" w:ascii="宋体" w:hAnsi="宋体" w:cs="宋体"/>
          <w:color w:val="auto"/>
          <w:szCs w:val="21"/>
          <w:highlight w:val="none"/>
        </w:rPr>
        <w:t>文本不清晰、</w:t>
      </w:r>
      <w:r>
        <w:rPr>
          <w:rFonts w:hint="eastAsia" w:ascii="宋体" w:hAnsi="宋体"/>
          <w:color w:val="auto"/>
          <w:szCs w:val="21"/>
          <w:highlight w:val="none"/>
        </w:rPr>
        <w:t>表述不一致等问题应在获得磋商文件</w:t>
      </w:r>
      <w:r>
        <w:rPr>
          <w:rFonts w:ascii="宋体" w:hAnsi="宋体"/>
          <w:color w:val="auto"/>
          <w:szCs w:val="21"/>
          <w:highlight w:val="none"/>
        </w:rPr>
        <w:t xml:space="preserve"> 3 </w:t>
      </w:r>
      <w:r>
        <w:rPr>
          <w:rFonts w:hint="eastAsia" w:ascii="宋体" w:hAnsi="宋体"/>
          <w:color w:val="auto"/>
          <w:szCs w:val="21"/>
          <w:highlight w:val="none"/>
        </w:rPr>
        <w:t>日内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27EC7B3">
      <w:pPr>
        <w:spacing w:line="360" w:lineRule="auto"/>
        <w:ind w:firstLine="422" w:firstLineChars="200"/>
        <w:outlineLvl w:val="3"/>
        <w:rPr>
          <w:rFonts w:ascii="宋体"/>
          <w:b/>
          <w:color w:val="auto"/>
          <w:szCs w:val="21"/>
          <w:highlight w:val="none"/>
        </w:rPr>
      </w:pPr>
      <w:r>
        <w:rPr>
          <w:rFonts w:ascii="宋体" w:hAnsi="宋体"/>
          <w:b/>
          <w:color w:val="auto"/>
          <w:szCs w:val="21"/>
          <w:highlight w:val="none"/>
        </w:rPr>
        <w:t>8</w:t>
      </w:r>
      <w:r>
        <w:rPr>
          <w:rFonts w:hint="eastAsia" w:ascii="宋体" w:hAnsi="宋体"/>
          <w:b/>
          <w:color w:val="auto"/>
          <w:szCs w:val="21"/>
          <w:highlight w:val="none"/>
        </w:rPr>
        <w:t>、磋商文件的澄清</w:t>
      </w:r>
    </w:p>
    <w:p w14:paraId="0E889E2A">
      <w:pPr>
        <w:spacing w:line="540" w:lineRule="exact"/>
        <w:ind w:firstLine="420" w:firstLineChars="200"/>
        <w:rPr>
          <w:rFonts w:ascii="宋体"/>
          <w:color w:val="auto"/>
          <w:szCs w:val="21"/>
          <w:highlight w:val="none"/>
        </w:rPr>
      </w:pPr>
      <w:r>
        <w:rPr>
          <w:rFonts w:ascii="宋体" w:hAnsi="宋体"/>
          <w:color w:val="auto"/>
          <w:szCs w:val="21"/>
          <w:highlight w:val="none"/>
        </w:rPr>
        <w:t>8.1</w:t>
      </w:r>
      <w:r>
        <w:rPr>
          <w:rFonts w:hint="eastAsia" w:ascii="宋体" w:hAnsi="宋体"/>
          <w:color w:val="auto"/>
          <w:szCs w:val="21"/>
          <w:highlight w:val="none"/>
        </w:rPr>
        <w:t>、供应商可以要求采购单位对磋商文件中的有关问题进行答疑或澄清。</w:t>
      </w:r>
    </w:p>
    <w:p w14:paraId="3CCDCD9C">
      <w:pPr>
        <w:spacing w:line="540" w:lineRule="exact"/>
        <w:ind w:firstLine="420" w:firstLineChars="200"/>
        <w:rPr>
          <w:rFonts w:ascii="宋体"/>
          <w:color w:val="auto"/>
          <w:szCs w:val="21"/>
          <w:highlight w:val="none"/>
        </w:rPr>
      </w:pPr>
      <w:r>
        <w:rPr>
          <w:rFonts w:ascii="宋体" w:hAnsi="宋体"/>
          <w:color w:val="auto"/>
          <w:szCs w:val="21"/>
          <w:highlight w:val="none"/>
        </w:rPr>
        <w:t>8.2</w:t>
      </w:r>
      <w:r>
        <w:rPr>
          <w:rFonts w:hint="eastAsia" w:ascii="宋体" w:hAnsi="宋体"/>
          <w:color w:val="auto"/>
          <w:szCs w:val="21"/>
          <w:highlight w:val="none"/>
        </w:rPr>
        <w:t>、供应商对磋商文件如有质疑，应在响应文件提交截止时间</w:t>
      </w:r>
      <w:r>
        <w:rPr>
          <w:rFonts w:ascii="宋体" w:hAnsi="宋体"/>
          <w:color w:val="auto"/>
          <w:szCs w:val="21"/>
          <w:highlight w:val="none"/>
        </w:rPr>
        <w:t>2</w:t>
      </w:r>
      <w:r>
        <w:rPr>
          <w:rFonts w:hint="eastAsia" w:ascii="宋体" w:hAnsi="宋体"/>
          <w:color w:val="auto"/>
          <w:szCs w:val="21"/>
          <w:highlight w:val="none"/>
        </w:rPr>
        <w:t>个工作日前登录</w:t>
      </w:r>
      <w:r>
        <w:rPr>
          <w:rFonts w:hint="eastAsia" w:ascii="宋体" w:hAnsi="宋体"/>
          <w:color w:val="auto"/>
          <w:szCs w:val="21"/>
          <w:highlight w:val="none"/>
          <w:lang w:eastAsia="zh-CN"/>
        </w:rPr>
        <w:t>安徽泰杰工程咨询有限公司网站和潜山市中医院网站</w:t>
      </w:r>
      <w:r>
        <w:rPr>
          <w:rFonts w:hint="eastAsia" w:ascii="宋体" w:hAnsi="宋体"/>
          <w:color w:val="auto"/>
          <w:szCs w:val="21"/>
          <w:highlight w:val="none"/>
        </w:rPr>
        <w:t>提交。</w:t>
      </w:r>
    </w:p>
    <w:p w14:paraId="7854B1E4">
      <w:pPr>
        <w:spacing w:line="540" w:lineRule="exact"/>
        <w:ind w:firstLine="420" w:firstLineChars="200"/>
        <w:rPr>
          <w:rFonts w:ascii="宋体"/>
          <w:color w:val="auto"/>
          <w:szCs w:val="21"/>
          <w:highlight w:val="none"/>
        </w:rPr>
      </w:pPr>
      <w:r>
        <w:rPr>
          <w:rFonts w:ascii="宋体" w:hAnsi="宋体"/>
          <w:color w:val="auto"/>
          <w:szCs w:val="21"/>
          <w:highlight w:val="none"/>
        </w:rPr>
        <w:t>8.3</w:t>
      </w:r>
      <w:r>
        <w:rPr>
          <w:rFonts w:hint="eastAsia" w:ascii="宋体" w:hAnsi="宋体"/>
          <w:color w:val="auto"/>
          <w:szCs w:val="21"/>
          <w:highlight w:val="none"/>
        </w:rPr>
        <w:t>、如果供应商未在约定的时间内对磋商文件有关条款提出质疑，视为充分理解磋商文件所有内容，一旦提交响应文件，则认为该供应商接受磋商文件的所有条款。</w:t>
      </w:r>
    </w:p>
    <w:p w14:paraId="358B85FC">
      <w:pPr>
        <w:spacing w:line="540" w:lineRule="exact"/>
        <w:ind w:firstLine="420" w:firstLineChars="200"/>
        <w:rPr>
          <w:rFonts w:ascii="宋体"/>
          <w:color w:val="auto"/>
          <w:szCs w:val="21"/>
          <w:highlight w:val="none"/>
        </w:rPr>
      </w:pPr>
      <w:r>
        <w:rPr>
          <w:rFonts w:ascii="宋体" w:hAnsi="宋体"/>
          <w:color w:val="auto"/>
          <w:szCs w:val="21"/>
          <w:highlight w:val="none"/>
        </w:rPr>
        <w:t>8.4</w:t>
      </w:r>
      <w:r>
        <w:rPr>
          <w:rFonts w:hint="eastAsia" w:ascii="宋体" w:hAnsi="宋体"/>
          <w:color w:val="auto"/>
          <w:szCs w:val="21"/>
          <w:highlight w:val="none"/>
        </w:rPr>
        <w:t>、采购单位对在约定时间收到的、且需要做出澄清的问题，将以本须知所述方式进行答复，但不说明问题的来源。</w:t>
      </w:r>
    </w:p>
    <w:p w14:paraId="20456CAD">
      <w:pPr>
        <w:spacing w:line="360" w:lineRule="auto"/>
        <w:ind w:firstLine="422" w:firstLineChars="200"/>
        <w:outlineLvl w:val="3"/>
        <w:rPr>
          <w:rFonts w:ascii="宋体"/>
          <w:b/>
          <w:color w:val="auto"/>
          <w:szCs w:val="21"/>
          <w:highlight w:val="none"/>
        </w:rPr>
      </w:pPr>
      <w:r>
        <w:rPr>
          <w:rFonts w:ascii="宋体" w:hAnsi="宋体"/>
          <w:b/>
          <w:color w:val="auto"/>
          <w:szCs w:val="21"/>
          <w:highlight w:val="none"/>
        </w:rPr>
        <w:t>9</w:t>
      </w:r>
      <w:r>
        <w:rPr>
          <w:rFonts w:hint="eastAsia" w:ascii="宋体" w:hAnsi="宋体"/>
          <w:b/>
          <w:color w:val="auto"/>
          <w:szCs w:val="21"/>
          <w:highlight w:val="none"/>
        </w:rPr>
        <w:t>、磋商文件的修改</w:t>
      </w:r>
    </w:p>
    <w:p w14:paraId="3C0E2382">
      <w:pPr>
        <w:spacing w:line="540" w:lineRule="exact"/>
        <w:ind w:firstLine="420" w:firstLineChars="200"/>
        <w:outlineLvl w:val="4"/>
        <w:rPr>
          <w:rFonts w:ascii="宋体"/>
          <w:color w:val="auto"/>
          <w:szCs w:val="21"/>
          <w:highlight w:val="none"/>
        </w:rPr>
      </w:pPr>
      <w:r>
        <w:rPr>
          <w:rFonts w:ascii="宋体" w:hAnsi="宋体"/>
          <w:color w:val="auto"/>
          <w:szCs w:val="21"/>
          <w:highlight w:val="none"/>
        </w:rPr>
        <w:t>9.1</w:t>
      </w:r>
      <w:r>
        <w:rPr>
          <w:rFonts w:hint="eastAsia" w:ascii="宋体" w:hAnsi="宋体"/>
          <w:color w:val="auto"/>
          <w:szCs w:val="21"/>
          <w:highlight w:val="none"/>
        </w:rPr>
        <w:t>、采购单位可以对磋商文件进行修改。</w:t>
      </w:r>
    </w:p>
    <w:p w14:paraId="1A1C451D">
      <w:pPr>
        <w:spacing w:line="540" w:lineRule="exact"/>
        <w:ind w:firstLine="420" w:firstLineChars="200"/>
        <w:rPr>
          <w:rFonts w:asci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、采购单位对供应商质疑的答复和对磋商文件的澄清、修改、补充说明等内容</w:t>
      </w:r>
      <w:r>
        <w:rPr>
          <w:rFonts w:hint="eastAsia" w:ascii="宋体" w:hAnsi="宋体"/>
          <w:b/>
          <w:bCs/>
          <w:color w:val="auto"/>
          <w:szCs w:val="21"/>
          <w:highlight w:val="none"/>
        </w:rPr>
        <w:t>均通过</w:t>
      </w:r>
      <w:r>
        <w:rPr>
          <w:rFonts w:hint="eastAsia" w:ascii="宋体" w:hAnsi="宋体"/>
          <w:b/>
          <w:bCs/>
          <w:color w:val="auto"/>
          <w:szCs w:val="21"/>
          <w:highlight w:val="none"/>
          <w:lang w:eastAsia="zh-CN"/>
        </w:rPr>
        <w:t>安徽泰杰工程咨询有限公司网站和潜山市中医院网站</w:t>
      </w:r>
      <w:r>
        <w:rPr>
          <w:rFonts w:hint="eastAsia" w:ascii="宋体" w:hAnsi="宋体"/>
          <w:b/>
          <w:bCs/>
          <w:color w:val="auto"/>
          <w:szCs w:val="21"/>
          <w:highlight w:val="none"/>
        </w:rPr>
        <w:t>发布，该修改内容作为磋商文件的组成部分，具有约束作用</w:t>
      </w:r>
      <w:r>
        <w:rPr>
          <w:rFonts w:hint="eastAsia" w:ascii="宋体" w:hAnsi="宋体"/>
          <w:color w:val="auto"/>
          <w:szCs w:val="21"/>
          <w:highlight w:val="none"/>
        </w:rPr>
        <w:t>。</w:t>
      </w:r>
    </w:p>
    <w:p w14:paraId="665EABFD">
      <w:pPr>
        <w:spacing w:line="540" w:lineRule="exact"/>
        <w:ind w:firstLine="420" w:firstLineChars="200"/>
        <w:rPr>
          <w:rFonts w:asci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、当磋商文件与对磋商文件的澄清、修改、补充等在同一内容的表述上不一致时，以最后发出的为准。</w:t>
      </w:r>
    </w:p>
    <w:p w14:paraId="3103F2FE">
      <w:pPr>
        <w:spacing w:line="360" w:lineRule="auto"/>
        <w:ind w:firstLine="420" w:firstLineChars="200"/>
        <w:rPr>
          <w:rFonts w:ascii="宋体"/>
          <w:color w:val="auto"/>
          <w:szCs w:val="21"/>
          <w:highlight w:val="none"/>
        </w:rPr>
      </w:pPr>
      <w:r>
        <w:rPr>
          <w:rFonts w:ascii="宋体" w:hAnsi="宋体"/>
          <w:color w:val="auto"/>
          <w:szCs w:val="21"/>
          <w:highlight w:val="none"/>
        </w:rPr>
        <w:t>9.4</w:t>
      </w:r>
      <w:r>
        <w:rPr>
          <w:rFonts w:hint="eastAsia" w:ascii="宋体" w:hAnsi="宋体"/>
          <w:color w:val="auto"/>
          <w:szCs w:val="21"/>
          <w:highlight w:val="none"/>
        </w:rPr>
        <w:t>、为使供应商有充分时间对磋商文件的澄清、修改、补充部分进行研究、或是由于其他原因，采购单位可以决定顺延磋商时间，具体时间通过</w:t>
      </w:r>
      <w:r>
        <w:rPr>
          <w:rFonts w:hint="eastAsia" w:ascii="宋体" w:hAnsi="宋体"/>
          <w:color w:val="auto"/>
          <w:szCs w:val="21"/>
          <w:highlight w:val="none"/>
          <w:lang w:eastAsia="zh-CN"/>
        </w:rPr>
        <w:t>安徽泰杰工程咨询有限公司网站和潜山市中医院网站</w:t>
      </w:r>
      <w:r>
        <w:rPr>
          <w:rFonts w:hint="eastAsia" w:ascii="宋体" w:hAnsi="宋体"/>
          <w:color w:val="auto"/>
          <w:szCs w:val="21"/>
          <w:highlight w:val="none"/>
        </w:rPr>
        <w:t>发布。</w:t>
      </w:r>
    </w:p>
    <w:p w14:paraId="6ECDCAB3">
      <w:pPr>
        <w:pStyle w:val="8"/>
        <w:numPr>
          <w:ilvl w:val="0"/>
          <w:numId w:val="0"/>
        </w:numPr>
        <w:wordWrap/>
        <w:spacing w:line="360" w:lineRule="auto"/>
        <w:ind w:firstLine="413" w:firstLineChars="196"/>
        <w:rPr>
          <w:color w:val="auto"/>
          <w:highlight w:val="none"/>
        </w:rPr>
      </w:pPr>
      <w:bookmarkStart w:id="168" w:name="_Toc29206"/>
      <w:bookmarkStart w:id="169" w:name="_Toc31936"/>
      <w:bookmarkStart w:id="170" w:name="_Toc20050"/>
      <w:bookmarkStart w:id="171" w:name="_Toc20712"/>
      <w:bookmarkStart w:id="172" w:name="_Toc2457"/>
      <w:bookmarkStart w:id="173" w:name="_Toc7612"/>
      <w:r>
        <w:rPr>
          <w:rFonts w:ascii="宋体" w:hAnsi="宋体" w:eastAsia="宋体" w:cs="Times New Roman"/>
          <w:b/>
          <w:color w:val="auto"/>
          <w:kern w:val="2"/>
          <w:sz w:val="21"/>
          <w:highlight w:val="none"/>
          <w:shd w:val="clear" w:fill="FFFFFF"/>
          <w:lang w:val="en-US" w:eastAsia="zh-CN" w:bidi="ar-SA"/>
        </w:rPr>
        <w:t>三、</w:t>
      </w:r>
      <w:r>
        <w:rPr>
          <w:rFonts w:hint="eastAsia"/>
          <w:color w:val="auto"/>
          <w:highlight w:val="none"/>
        </w:rPr>
        <w:t>响应文件编制</w:t>
      </w:r>
      <w:bookmarkEnd w:id="168"/>
      <w:bookmarkEnd w:id="169"/>
      <w:bookmarkEnd w:id="170"/>
      <w:bookmarkEnd w:id="171"/>
      <w:bookmarkEnd w:id="172"/>
      <w:bookmarkEnd w:id="173"/>
    </w:p>
    <w:p w14:paraId="2AB7DED2">
      <w:pPr>
        <w:spacing w:line="360" w:lineRule="auto"/>
        <w:ind w:firstLine="422" w:firstLineChars="200"/>
        <w:outlineLvl w:val="3"/>
        <w:rPr>
          <w:rFonts w:ascii="宋体"/>
          <w:b/>
          <w:color w:val="auto"/>
          <w:szCs w:val="21"/>
          <w:highlight w:val="none"/>
        </w:rPr>
      </w:pPr>
      <w:r>
        <w:rPr>
          <w:rFonts w:ascii="宋体" w:hAnsi="宋体"/>
          <w:b/>
          <w:color w:val="auto"/>
          <w:szCs w:val="21"/>
          <w:highlight w:val="none"/>
        </w:rPr>
        <w:t>10</w:t>
      </w:r>
      <w:r>
        <w:rPr>
          <w:rFonts w:hint="eastAsia" w:ascii="宋体" w:hAnsi="宋体"/>
          <w:b/>
          <w:color w:val="auto"/>
          <w:szCs w:val="21"/>
          <w:highlight w:val="none"/>
        </w:rPr>
        <w:t>、</w:t>
      </w:r>
      <w:r>
        <w:rPr>
          <w:rFonts w:ascii="宋体" w:hAnsi="宋体"/>
          <w:b/>
          <w:color w:val="auto"/>
          <w:szCs w:val="21"/>
          <w:highlight w:val="none"/>
        </w:rPr>
        <w:t xml:space="preserve"> </w:t>
      </w:r>
      <w:r>
        <w:rPr>
          <w:rFonts w:hint="eastAsia" w:ascii="宋体" w:hAnsi="宋体"/>
          <w:b/>
          <w:color w:val="auto"/>
          <w:szCs w:val="21"/>
          <w:highlight w:val="none"/>
        </w:rPr>
        <w:t>响应的语言及度量衡单位</w:t>
      </w:r>
    </w:p>
    <w:p w14:paraId="23BD3CC9">
      <w:pPr>
        <w:spacing w:line="360" w:lineRule="auto"/>
        <w:ind w:firstLine="420" w:firstLineChars="200"/>
        <w:rPr>
          <w:rFonts w:ascii="宋体"/>
          <w:color w:val="auto"/>
          <w:szCs w:val="21"/>
          <w:highlight w:val="none"/>
        </w:rPr>
      </w:pPr>
      <w:r>
        <w:rPr>
          <w:rFonts w:ascii="宋体" w:hAnsi="宋体"/>
          <w:color w:val="auto"/>
          <w:szCs w:val="21"/>
          <w:highlight w:val="none"/>
        </w:rPr>
        <w:t>10.1</w:t>
      </w:r>
      <w:r>
        <w:rPr>
          <w:rFonts w:hint="eastAsia" w:ascii="宋体" w:hAnsi="宋体"/>
          <w:color w:val="auto"/>
          <w:szCs w:val="21"/>
          <w:highlight w:val="none"/>
        </w:rPr>
        <w:t>、供应商的响应文件、供应商与采购单位就采购的所有往来函电，均须使用简体中文。</w:t>
      </w:r>
    </w:p>
    <w:p w14:paraId="76412E1E">
      <w:pPr>
        <w:spacing w:line="360" w:lineRule="auto"/>
        <w:ind w:firstLine="420" w:firstLineChars="200"/>
        <w:rPr>
          <w:rFonts w:ascii="宋体"/>
          <w:color w:val="auto"/>
          <w:szCs w:val="21"/>
          <w:highlight w:val="none"/>
        </w:rPr>
      </w:pPr>
      <w:r>
        <w:rPr>
          <w:rFonts w:ascii="宋体" w:hAnsi="宋体"/>
          <w:color w:val="auto"/>
          <w:szCs w:val="21"/>
          <w:highlight w:val="none"/>
        </w:rPr>
        <w:t>10.2</w:t>
      </w:r>
      <w:r>
        <w:rPr>
          <w:rFonts w:hint="eastAsia" w:ascii="宋体" w:hAnsi="宋体"/>
          <w:color w:val="auto"/>
          <w:szCs w:val="21"/>
          <w:highlight w:val="none"/>
        </w:rPr>
        <w:t>、除磋商文件中另有约定外，响应文件所使用的度量衡均须采用中华人民共和国法定计量单位。</w:t>
      </w:r>
    </w:p>
    <w:p w14:paraId="734A8EC5">
      <w:pPr>
        <w:numPr>
          <w:ilvl w:val="0"/>
          <w:numId w:val="5"/>
        </w:numPr>
        <w:spacing w:line="360" w:lineRule="auto"/>
        <w:ind w:firstLine="422" w:firstLineChars="200"/>
        <w:outlineLvl w:val="3"/>
        <w:rPr>
          <w:rFonts w:ascii="宋体"/>
          <w:b/>
          <w:color w:val="auto"/>
          <w:szCs w:val="21"/>
          <w:highlight w:val="none"/>
        </w:rPr>
      </w:pPr>
      <w:r>
        <w:rPr>
          <w:rFonts w:ascii="宋体" w:hAnsi="宋体"/>
          <w:b/>
          <w:color w:val="auto"/>
          <w:szCs w:val="21"/>
          <w:highlight w:val="none"/>
        </w:rPr>
        <w:t xml:space="preserve"> </w:t>
      </w:r>
      <w:r>
        <w:rPr>
          <w:rFonts w:hint="eastAsia" w:ascii="宋体" w:hAnsi="宋体"/>
          <w:b/>
          <w:color w:val="auto"/>
          <w:szCs w:val="21"/>
          <w:highlight w:val="none"/>
        </w:rPr>
        <w:t>响应文件的构成</w:t>
      </w:r>
    </w:p>
    <w:p w14:paraId="47C07A12">
      <w:pPr>
        <w:spacing w:line="360" w:lineRule="auto"/>
        <w:ind w:firstLine="420" w:firstLineChars="200"/>
        <w:rPr>
          <w:rFonts w:ascii="宋体"/>
          <w:color w:val="auto"/>
          <w:szCs w:val="21"/>
          <w:highlight w:val="none"/>
        </w:rPr>
      </w:pPr>
      <w:r>
        <w:rPr>
          <w:rFonts w:ascii="宋体" w:hAnsi="宋体"/>
          <w:color w:val="auto"/>
          <w:szCs w:val="21"/>
          <w:highlight w:val="none"/>
        </w:rPr>
        <w:t>11.1</w:t>
      </w:r>
      <w:r>
        <w:rPr>
          <w:rFonts w:hint="eastAsia" w:ascii="宋体" w:hAnsi="宋体"/>
          <w:color w:val="auto"/>
          <w:szCs w:val="21"/>
          <w:highlight w:val="none"/>
        </w:rPr>
        <w:t>、响应文件应该按照“响应文件格式”约定的内容和顺序进行编写。</w:t>
      </w:r>
    </w:p>
    <w:p w14:paraId="4AA45D12">
      <w:pPr>
        <w:spacing w:line="360" w:lineRule="auto"/>
        <w:ind w:firstLine="420" w:firstLineChars="200"/>
        <w:rPr>
          <w:rFonts w:asci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、供应商应提交“磋商须知前附表”中约定的磋商响应文件。</w:t>
      </w:r>
    </w:p>
    <w:p w14:paraId="304C1E22">
      <w:pPr>
        <w:spacing w:line="360" w:lineRule="auto"/>
        <w:ind w:firstLine="420" w:firstLineChars="200"/>
        <w:rPr>
          <w:rFonts w:asci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、供应商必须对其响应文件的真实性与准确性负责。供应商一旦成交，其响应文件将作为合同的重要组成部分。</w:t>
      </w:r>
    </w:p>
    <w:p w14:paraId="3BF15F98">
      <w:pPr>
        <w:spacing w:line="360" w:lineRule="auto"/>
        <w:ind w:firstLine="420" w:firstLineChars="200"/>
        <w:rPr>
          <w:rFonts w:ascii="宋体"/>
          <w:color w:val="auto"/>
          <w:szCs w:val="21"/>
          <w:highlight w:val="none"/>
        </w:rPr>
      </w:pPr>
      <w:r>
        <w:rPr>
          <w:rFonts w:ascii="宋体" w:hAnsi="宋体"/>
          <w:color w:val="auto"/>
          <w:szCs w:val="21"/>
          <w:highlight w:val="none"/>
        </w:rPr>
        <w:t>11.4</w:t>
      </w:r>
      <w:r>
        <w:rPr>
          <w:rFonts w:hint="eastAsia" w:ascii="宋体" w:hAnsi="宋体"/>
          <w:color w:val="auto"/>
          <w:szCs w:val="21"/>
          <w:highlight w:val="none"/>
        </w:rPr>
        <w:t>、供应商提供的服务能满足招标文件约定的实质性要求。否则，其响应文件在评审时有可能被认为是对磋商文件未做出实质性的响应，而终止对其作进一步的评审。</w:t>
      </w:r>
    </w:p>
    <w:p w14:paraId="7876DF70">
      <w:pPr>
        <w:spacing w:line="360" w:lineRule="auto"/>
        <w:ind w:firstLine="422" w:firstLineChars="200"/>
        <w:outlineLvl w:val="3"/>
        <w:rPr>
          <w:rFonts w:ascii="宋体" w:cs="宋体"/>
          <w:b/>
          <w:color w:val="auto"/>
          <w:szCs w:val="21"/>
          <w:highlight w:val="none"/>
        </w:rPr>
      </w:pPr>
      <w:r>
        <w:rPr>
          <w:rFonts w:ascii="宋体" w:hAnsi="宋体" w:cs="宋体"/>
          <w:b/>
          <w:color w:val="auto"/>
          <w:szCs w:val="21"/>
          <w:highlight w:val="none"/>
        </w:rPr>
        <w:t>12</w:t>
      </w:r>
      <w:r>
        <w:rPr>
          <w:rFonts w:hint="eastAsia" w:ascii="宋体" w:hAnsi="宋体" w:cs="宋体"/>
          <w:b/>
          <w:color w:val="auto"/>
          <w:szCs w:val="21"/>
          <w:highlight w:val="none"/>
        </w:rPr>
        <w:t>、磋商响应报价</w:t>
      </w:r>
    </w:p>
    <w:p w14:paraId="4567FB68">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12.1</w:t>
      </w:r>
      <w:r>
        <w:rPr>
          <w:rFonts w:hint="eastAsia" w:ascii="宋体" w:hAnsi="宋体" w:cs="宋体"/>
          <w:color w:val="auto"/>
          <w:szCs w:val="21"/>
          <w:highlight w:val="none"/>
        </w:rPr>
        <w:t>、响应文件的服务报价表上应清楚地标明供应商拟提供服务的名称、人员、设备、价格等内容。</w:t>
      </w:r>
      <w:r>
        <w:rPr>
          <w:rFonts w:hint="eastAsia" w:ascii="宋体" w:hAnsi="宋体"/>
          <w:color w:val="auto"/>
          <w:szCs w:val="21"/>
          <w:highlight w:val="none"/>
        </w:rPr>
        <w:t>单价不作为合同结算依据。</w:t>
      </w:r>
    </w:p>
    <w:p w14:paraId="132BCA9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12.2</w:t>
      </w:r>
      <w:r>
        <w:rPr>
          <w:rFonts w:hint="eastAsia" w:ascii="宋体" w:hAnsi="宋体" w:cs="宋体"/>
          <w:color w:val="auto"/>
          <w:szCs w:val="21"/>
          <w:highlight w:val="none"/>
        </w:rPr>
        <w:t>、除非特别要求，每个项目（或每个包）只允许有一个方案、一个报价。多方案、多报价的响应文件将视为无效响应文件。</w:t>
      </w:r>
    </w:p>
    <w:p w14:paraId="6063E14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12.3</w:t>
      </w:r>
      <w:r>
        <w:rPr>
          <w:rFonts w:hint="eastAsia" w:ascii="宋体" w:hAnsi="宋体" w:cs="宋体"/>
          <w:color w:val="auto"/>
          <w:szCs w:val="21"/>
          <w:highlight w:val="none"/>
        </w:rPr>
        <w:t>、供应商的</w:t>
      </w:r>
      <w:r>
        <w:rPr>
          <w:rFonts w:hint="eastAsia" w:ascii="宋体" w:hAnsi="宋体"/>
          <w:color w:val="auto"/>
          <w:szCs w:val="21"/>
          <w:highlight w:val="none"/>
        </w:rPr>
        <w:t>报价应包含满足本次采购需求的所有费用（包括但不限于：</w:t>
      </w:r>
      <w:r>
        <w:rPr>
          <w:rFonts w:hint="eastAsia" w:ascii="宋体" w:hAnsi="宋体" w:cs="宋体"/>
          <w:color w:val="auto"/>
          <w:szCs w:val="21"/>
          <w:highlight w:val="none"/>
        </w:rPr>
        <w:t>人工费、材料费、交通费、培训费、印刷费、管理费、保险、税金等）。</w:t>
      </w:r>
    </w:p>
    <w:p w14:paraId="0A465804">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12.4</w:t>
      </w:r>
      <w:r>
        <w:rPr>
          <w:rFonts w:hint="eastAsia" w:ascii="宋体" w:hAnsi="宋体" w:cs="宋体"/>
          <w:color w:val="auto"/>
          <w:szCs w:val="21"/>
          <w:highlight w:val="none"/>
        </w:rPr>
        <w:t>、磋商报价高于最高磋商限价为无效报价。</w:t>
      </w:r>
    </w:p>
    <w:p w14:paraId="173C97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w:t>
      </w:r>
      <w:r>
        <w:rPr>
          <w:rFonts w:ascii="宋体" w:hAnsi="宋体"/>
          <w:color w:val="auto"/>
          <w:szCs w:val="21"/>
          <w:highlight w:val="none"/>
        </w:rPr>
        <w:t>5</w:t>
      </w:r>
      <w:r>
        <w:rPr>
          <w:rFonts w:hint="eastAsia" w:ascii="宋体" w:hAnsi="宋体"/>
          <w:color w:val="auto"/>
          <w:szCs w:val="21"/>
          <w:highlight w:val="none"/>
        </w:rPr>
        <w:t>、磋商响应文件内容不一致的确认。</w:t>
      </w:r>
    </w:p>
    <w:p w14:paraId="5EB466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.5</w:t>
      </w:r>
      <w:r>
        <w:rPr>
          <w:rFonts w:ascii="宋体" w:hAnsi="宋体" w:cs="宋体"/>
          <w:color w:val="auto"/>
          <w:szCs w:val="21"/>
          <w:highlight w:val="none"/>
        </w:rPr>
        <w:t>.1</w:t>
      </w:r>
      <w:r>
        <w:rPr>
          <w:rFonts w:hint="eastAsia" w:ascii="宋体" w:hAnsi="宋体" w:cs="宋体"/>
          <w:color w:val="auto"/>
          <w:szCs w:val="21"/>
          <w:highlight w:val="none"/>
        </w:rPr>
        <w:t>、磋商响应文件中磋商响应函(磋商报价)与磋商响应文件中相应内容不一致的,以磋商响应函(磋商报价)为准;</w:t>
      </w:r>
    </w:p>
    <w:p w14:paraId="23EDE779">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5.2</w:t>
      </w:r>
      <w:r>
        <w:rPr>
          <w:rFonts w:hint="eastAsia" w:ascii="宋体" w:hAnsi="宋体" w:cs="宋体"/>
          <w:color w:val="auto"/>
          <w:szCs w:val="21"/>
          <w:highlight w:val="none"/>
        </w:rPr>
        <w:t>、若大写金额和小写金额不一致的，以大写金额为准;</w:t>
      </w:r>
    </w:p>
    <w:p w14:paraId="5FECC0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5.3</w:t>
      </w:r>
      <w:r>
        <w:rPr>
          <w:rFonts w:hint="eastAsia" w:ascii="宋体" w:hAnsi="宋体" w:cs="宋体"/>
          <w:color w:val="auto"/>
          <w:szCs w:val="21"/>
          <w:highlight w:val="none"/>
        </w:rPr>
        <w:t>、单价金额小数点或者百分比有明显错位的，应以磋商响应函(磋商报价)为准，并修正单价。</w:t>
      </w:r>
    </w:p>
    <w:p w14:paraId="1D2746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5.4</w:t>
      </w:r>
      <w:r>
        <w:rPr>
          <w:rFonts w:hint="eastAsia" w:ascii="宋体" w:hAnsi="宋体" w:cs="宋体"/>
          <w:color w:val="auto"/>
          <w:szCs w:val="21"/>
          <w:highlight w:val="none"/>
        </w:rPr>
        <w:t>、总价金额与按单价汇总金额不一致的，以单价金额计算结果为准。</w:t>
      </w:r>
    </w:p>
    <w:p w14:paraId="3775B1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规定的顺序修正。修正后的报价应当采用书面形式，并加盖公章或者由法定代表人或其委托代理人签字,但不得超出磋商响应文件的范围或者改变磋商响应文件的实质性内容。经供应商确认后产生约束力，供应商不确认的，其磋商响应无效。</w:t>
      </w:r>
    </w:p>
    <w:p w14:paraId="5788AD52">
      <w:pPr>
        <w:spacing w:line="360" w:lineRule="auto"/>
        <w:ind w:firstLine="422" w:firstLineChars="200"/>
        <w:rPr>
          <w:rFonts w:ascii="宋体" w:cs="宋体"/>
          <w:color w:val="auto"/>
          <w:szCs w:val="21"/>
          <w:highlight w:val="none"/>
        </w:rPr>
      </w:pPr>
      <w:r>
        <w:rPr>
          <w:rFonts w:ascii="宋体" w:hAnsi="宋体" w:cs="宋体"/>
          <w:b/>
          <w:color w:val="auto"/>
          <w:szCs w:val="21"/>
          <w:highlight w:val="none"/>
        </w:rPr>
        <w:t>13</w:t>
      </w:r>
      <w:r>
        <w:rPr>
          <w:rFonts w:hint="eastAsia" w:ascii="宋体" w:hAnsi="宋体" w:cs="宋体"/>
          <w:b/>
          <w:color w:val="auto"/>
          <w:szCs w:val="21"/>
          <w:highlight w:val="none"/>
        </w:rPr>
        <w:t>、磋商响应货币：</w:t>
      </w:r>
      <w:r>
        <w:rPr>
          <w:rFonts w:hint="eastAsia" w:ascii="宋体" w:hAnsi="宋体" w:cs="宋体"/>
          <w:color w:val="auto"/>
          <w:szCs w:val="21"/>
          <w:highlight w:val="none"/>
        </w:rPr>
        <w:t>人民币。</w:t>
      </w:r>
    </w:p>
    <w:p w14:paraId="4B3EFB15">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14</w:t>
      </w:r>
      <w:r>
        <w:rPr>
          <w:rFonts w:hint="eastAsia" w:ascii="宋体" w:hAnsi="宋体" w:cs="宋体"/>
          <w:b/>
          <w:color w:val="auto"/>
          <w:szCs w:val="21"/>
          <w:highlight w:val="none"/>
        </w:rPr>
        <w:t>、磋商保证金</w:t>
      </w:r>
    </w:p>
    <w:p w14:paraId="3E95E5B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14.1</w:t>
      </w:r>
      <w:r>
        <w:rPr>
          <w:rFonts w:hint="eastAsia" w:ascii="宋体" w:hAnsi="宋体" w:cs="宋体"/>
          <w:color w:val="auto"/>
          <w:szCs w:val="21"/>
          <w:highlight w:val="none"/>
        </w:rPr>
        <w:t>、供应商必须在响应文件提交截止时间前，提交“磋商须知前附表”中约定数额的磋商保证金（以实际到账时间为准）。</w:t>
      </w:r>
    </w:p>
    <w:p w14:paraId="3B9FF0C0">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14.2</w:t>
      </w:r>
      <w:r>
        <w:rPr>
          <w:rFonts w:hint="eastAsia" w:ascii="宋体" w:hAnsi="宋体" w:cs="宋体"/>
          <w:color w:val="auto"/>
          <w:szCs w:val="21"/>
          <w:highlight w:val="none"/>
        </w:rPr>
        <w:t>、对于未能按时、足额、按要求提交磋商保证金的供应商，采购单位将视其响应文件为无效响应文件。</w:t>
      </w:r>
    </w:p>
    <w:p w14:paraId="00BB3C31">
      <w:pPr>
        <w:spacing w:line="360" w:lineRule="auto"/>
        <w:ind w:left="420"/>
        <w:rPr>
          <w:rFonts w:ascii="宋体" w:cs="宋体"/>
          <w:color w:val="auto"/>
          <w:szCs w:val="21"/>
          <w:highlight w:val="none"/>
        </w:rPr>
      </w:pPr>
      <w:r>
        <w:rPr>
          <w:rFonts w:ascii="宋体" w:hAnsi="宋体" w:cs="宋体"/>
          <w:color w:val="auto"/>
          <w:szCs w:val="21"/>
          <w:highlight w:val="none"/>
        </w:rPr>
        <w:t>14.3</w:t>
      </w:r>
      <w:r>
        <w:rPr>
          <w:rFonts w:hint="eastAsia" w:ascii="宋体" w:hAnsi="宋体" w:cs="宋体"/>
          <w:color w:val="auto"/>
          <w:szCs w:val="21"/>
          <w:highlight w:val="none"/>
        </w:rPr>
        <w:t>、磋商保证金的退还：</w:t>
      </w:r>
    </w:p>
    <w:p w14:paraId="48F51588">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）成交人的磋商保证金，在采购合同签订并经市公管局备案后</w:t>
      </w:r>
      <w:r>
        <w:rPr>
          <w:rFonts w:ascii="宋体" w:hAnsi="宋体" w:cs="宋体"/>
          <w:color w:val="auto"/>
          <w:szCs w:val="21"/>
          <w:highlight w:val="none"/>
        </w:rPr>
        <w:t>3</w:t>
      </w:r>
      <w:r>
        <w:rPr>
          <w:rFonts w:hint="eastAsia" w:ascii="宋体" w:hAnsi="宋体" w:cs="宋体"/>
          <w:color w:val="auto"/>
          <w:szCs w:val="21"/>
          <w:highlight w:val="none"/>
        </w:rPr>
        <w:t>个工作日内退还；</w:t>
      </w:r>
    </w:p>
    <w:p w14:paraId="470AB69D">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）未成交的其他成交侯选人的磋商保证金，在成交通知书发出后</w:t>
      </w:r>
      <w:r>
        <w:rPr>
          <w:rFonts w:ascii="宋体" w:hAnsi="宋体" w:cs="宋体"/>
          <w:color w:val="auto"/>
          <w:szCs w:val="21"/>
          <w:highlight w:val="none"/>
        </w:rPr>
        <w:t>3</w:t>
      </w:r>
      <w:r>
        <w:rPr>
          <w:rFonts w:hint="eastAsia" w:ascii="宋体" w:hAnsi="宋体" w:cs="宋体"/>
          <w:color w:val="auto"/>
          <w:szCs w:val="21"/>
          <w:highlight w:val="none"/>
        </w:rPr>
        <w:t>个工作日内退还；</w:t>
      </w:r>
    </w:p>
    <w:p w14:paraId="4D4979EE">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）非成交候选人的磋商保证金，在评标结束后</w:t>
      </w:r>
      <w:r>
        <w:rPr>
          <w:rFonts w:ascii="宋体" w:hAnsi="宋体" w:cs="宋体"/>
          <w:color w:val="auto"/>
          <w:szCs w:val="21"/>
          <w:highlight w:val="none"/>
        </w:rPr>
        <w:t>3</w:t>
      </w:r>
      <w:r>
        <w:rPr>
          <w:rFonts w:hint="eastAsia" w:ascii="宋体" w:hAnsi="宋体" w:cs="宋体"/>
          <w:color w:val="auto"/>
          <w:szCs w:val="21"/>
          <w:highlight w:val="none"/>
        </w:rPr>
        <w:t>个工作日内退还；</w:t>
      </w:r>
    </w:p>
    <w:p w14:paraId="6D26DA93">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）磋商失败的，在磋商失败公告后</w:t>
      </w:r>
      <w:r>
        <w:rPr>
          <w:rFonts w:ascii="宋体" w:hAnsi="宋体" w:cs="宋体"/>
          <w:color w:val="auto"/>
          <w:szCs w:val="21"/>
          <w:highlight w:val="none"/>
        </w:rPr>
        <w:t>3</w:t>
      </w:r>
      <w:r>
        <w:rPr>
          <w:rFonts w:hint="eastAsia" w:ascii="宋体" w:hAnsi="宋体" w:cs="宋体"/>
          <w:color w:val="auto"/>
          <w:szCs w:val="21"/>
          <w:highlight w:val="none"/>
        </w:rPr>
        <w:t>个工作日内，退还所有供应商的磋商保证金；</w:t>
      </w:r>
    </w:p>
    <w:p w14:paraId="42DF0945">
      <w:pPr>
        <w:spacing w:line="42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）非成交人原因导致政府采购项目未能签订合同的，在有关部门作出处理意见之日起</w:t>
      </w:r>
      <w:r>
        <w:rPr>
          <w:rFonts w:ascii="宋体" w:hAnsi="宋体" w:cs="宋体"/>
          <w:color w:val="auto"/>
          <w:szCs w:val="21"/>
          <w:highlight w:val="none"/>
        </w:rPr>
        <w:t>3</w:t>
      </w:r>
      <w:r>
        <w:rPr>
          <w:rFonts w:hint="eastAsia" w:ascii="宋体" w:hAnsi="宋体" w:cs="宋体"/>
          <w:color w:val="auto"/>
          <w:szCs w:val="21"/>
          <w:highlight w:val="none"/>
        </w:rPr>
        <w:t>个工作日内，退还成交人的磋商保证金；</w:t>
      </w:r>
    </w:p>
    <w:p w14:paraId="78C9D66C">
      <w:pPr>
        <w:spacing w:line="420" w:lineRule="exact"/>
        <w:ind w:firstLine="420" w:firstLineChars="200"/>
        <w:rPr>
          <w:rFonts w:ascii="宋体" w:cs="宋体"/>
          <w:b/>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）政府采购项目有质疑、投诉的，成交候选人、提出质疑的供应商及投诉人的磋商保证金在质疑、投诉处理后，按相关约定办理；其他供应商的磋商保证金在评标结束后</w:t>
      </w:r>
      <w:r>
        <w:rPr>
          <w:rFonts w:ascii="宋体" w:hAnsi="宋体" w:cs="宋体"/>
          <w:color w:val="auto"/>
          <w:szCs w:val="21"/>
          <w:highlight w:val="none"/>
        </w:rPr>
        <w:t>3</w:t>
      </w:r>
      <w:r>
        <w:rPr>
          <w:rFonts w:hint="eastAsia" w:ascii="宋体" w:hAnsi="宋体" w:cs="宋体"/>
          <w:color w:val="auto"/>
          <w:szCs w:val="21"/>
          <w:highlight w:val="none"/>
        </w:rPr>
        <w:t>个工作日内退还。</w:t>
      </w:r>
    </w:p>
    <w:p w14:paraId="221BBD47">
      <w:pPr>
        <w:spacing w:line="420" w:lineRule="exact"/>
        <w:ind w:firstLine="315" w:firstLineChars="150"/>
        <w:rPr>
          <w:rFonts w:ascii="宋体" w:cs="宋体"/>
          <w:color w:val="auto"/>
          <w:szCs w:val="21"/>
          <w:highlight w:val="none"/>
        </w:rPr>
      </w:pPr>
      <w:r>
        <w:rPr>
          <w:rFonts w:ascii="宋体" w:hAnsi="宋体" w:cs="宋体"/>
          <w:color w:val="auto"/>
          <w:szCs w:val="21"/>
          <w:highlight w:val="none"/>
        </w:rPr>
        <w:t xml:space="preserve"> 14.4</w:t>
      </w:r>
      <w:r>
        <w:rPr>
          <w:rFonts w:hint="eastAsia" w:ascii="宋体" w:hAnsi="宋体" w:cs="宋体"/>
          <w:color w:val="auto"/>
          <w:szCs w:val="21"/>
          <w:highlight w:val="none"/>
        </w:rPr>
        <w:t>、供应商有下列情形之一的，磋商保证金不予退还, 并记入不良行为记录：</w:t>
      </w:r>
    </w:p>
    <w:p w14:paraId="06EB211F">
      <w:pPr>
        <w:spacing w:line="420" w:lineRule="exact"/>
        <w:ind w:firstLine="315" w:firstLineChars="1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）提交截止时间后，供应商在磋商有效期内撤销响应文件的；</w:t>
      </w:r>
    </w:p>
    <w:p w14:paraId="15BB806A">
      <w:pPr>
        <w:spacing w:line="420" w:lineRule="exact"/>
        <w:ind w:firstLine="315" w:firstLineChars="1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）成交人无正当理由不与采购人订立合同的，或在签订合同时向采购人提出附加条件的；</w:t>
      </w:r>
    </w:p>
    <w:p w14:paraId="02081772">
      <w:pPr>
        <w:spacing w:line="420" w:lineRule="exact"/>
        <w:ind w:firstLine="315" w:firstLineChars="1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）不按照磋商文件要求提交履约保证金的；</w:t>
      </w:r>
    </w:p>
    <w:p w14:paraId="24ED5A68">
      <w:pPr>
        <w:spacing w:line="420" w:lineRule="exact"/>
        <w:ind w:firstLine="315" w:firstLineChars="15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w:t>
      </w:r>
      <w:r>
        <w:rPr>
          <w:rFonts w:hint="eastAsia" w:ascii="宋体" w:hAnsi="宋体"/>
          <w:color w:val="auto"/>
          <w:szCs w:val="21"/>
          <w:highlight w:val="none"/>
        </w:rPr>
        <w:t>将中标项目转让给他人，或未按相关约定将中标项目分包给他人的</w:t>
      </w:r>
      <w:r>
        <w:rPr>
          <w:rFonts w:hint="eastAsia" w:ascii="宋体" w:hAnsi="宋体" w:cs="宋体"/>
          <w:color w:val="auto"/>
          <w:szCs w:val="21"/>
          <w:highlight w:val="none"/>
        </w:rPr>
        <w:t>；</w:t>
      </w:r>
    </w:p>
    <w:p w14:paraId="17E32B0D">
      <w:pPr>
        <w:spacing w:line="360" w:lineRule="auto"/>
        <w:ind w:firstLine="315" w:firstLineChars="150"/>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）成交人拒绝履行合同义务的；</w:t>
      </w:r>
    </w:p>
    <w:p w14:paraId="49777198">
      <w:pPr>
        <w:spacing w:line="360" w:lineRule="auto"/>
        <w:ind w:left="420"/>
        <w:rPr>
          <w:rFonts w:ascii="宋体" w:hAnsi="宋体"/>
          <w:color w:val="auto"/>
          <w:szCs w:val="21"/>
          <w:highlight w:val="none"/>
        </w:rPr>
      </w:pPr>
      <w:r>
        <w:rPr>
          <w:rFonts w:hint="eastAsia" w:ascii="宋体" w:hAnsi="宋体"/>
          <w:color w:val="auto"/>
          <w:szCs w:val="21"/>
          <w:highlight w:val="none"/>
        </w:rPr>
        <w:t xml:space="preserve">（6）提供虚假材料谋取中标、成交的； </w:t>
      </w:r>
    </w:p>
    <w:p w14:paraId="35EF9A8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（7）采取不正当手段诋毁、排挤其他供应商的； </w:t>
      </w:r>
    </w:p>
    <w:p w14:paraId="6C21601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（8）与采购单位、其他供应商恶意串通的；</w:t>
      </w:r>
    </w:p>
    <w:p w14:paraId="03EC104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（9）视为供应商串通投标的；</w:t>
      </w:r>
      <w:r>
        <w:rPr>
          <w:rFonts w:ascii="宋体" w:hAnsi="宋体"/>
          <w:color w:val="auto"/>
          <w:szCs w:val="21"/>
          <w:highlight w:val="none"/>
        </w:rPr>
        <w:t xml:space="preserve"> </w:t>
      </w:r>
    </w:p>
    <w:p w14:paraId="6E052F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 xml:space="preserve">）向采购单位行贿或者提供其他不正当利益的； </w:t>
      </w:r>
    </w:p>
    <w:p w14:paraId="75F4768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 xml:space="preserve">）在招标采购过程中与采购人进行磋商、不按照磋商文件和成交供应商的响应文件订立合同，或者与采购人另行订立背离合同实质性内容的协议； </w:t>
      </w:r>
    </w:p>
    <w:p w14:paraId="106548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）拒绝有关部门监督检查或者提供虚假情况的；</w:t>
      </w:r>
    </w:p>
    <w:p w14:paraId="3E75105A">
      <w:pPr>
        <w:spacing w:line="360" w:lineRule="auto"/>
        <w:ind w:left="42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r>
        <w:rPr>
          <w:rFonts w:hint="eastAsia" w:ascii="宋体" w:hAnsi="宋体"/>
          <w:color w:val="auto"/>
          <w:szCs w:val="21"/>
          <w:highlight w:val="none"/>
        </w:rPr>
        <w:t>）受到</w:t>
      </w:r>
      <w:r>
        <w:rPr>
          <w:rFonts w:ascii="宋体" w:hAnsi="宋体"/>
          <w:color w:val="auto"/>
          <w:szCs w:val="21"/>
          <w:highlight w:val="none"/>
        </w:rPr>
        <w:t>财政部门依法</w:t>
      </w:r>
      <w:r>
        <w:rPr>
          <w:rFonts w:hint="eastAsia" w:ascii="宋体" w:hAnsi="宋体"/>
          <w:color w:val="auto"/>
          <w:szCs w:val="21"/>
          <w:highlight w:val="none"/>
        </w:rPr>
        <w:t>作出的</w:t>
      </w:r>
      <w:r>
        <w:rPr>
          <w:rFonts w:ascii="宋体" w:hAnsi="宋体"/>
          <w:color w:val="auto"/>
          <w:szCs w:val="21"/>
          <w:highlight w:val="none"/>
        </w:rPr>
        <w:t>禁止参加政府采购活动</w:t>
      </w:r>
      <w:r>
        <w:rPr>
          <w:rFonts w:hint="eastAsia" w:ascii="宋体" w:hAnsi="宋体"/>
          <w:color w:val="auto"/>
          <w:szCs w:val="21"/>
          <w:highlight w:val="none"/>
        </w:rPr>
        <w:t>且在有效期内的</w:t>
      </w:r>
      <w:r>
        <w:rPr>
          <w:rFonts w:ascii="宋体" w:hAnsi="宋体"/>
          <w:color w:val="auto"/>
          <w:szCs w:val="21"/>
          <w:highlight w:val="none"/>
        </w:rPr>
        <w:t>行政处罚</w:t>
      </w:r>
      <w:r>
        <w:rPr>
          <w:rFonts w:hint="eastAsia" w:ascii="宋体" w:hAnsi="宋体"/>
          <w:color w:val="auto"/>
          <w:szCs w:val="21"/>
          <w:highlight w:val="none"/>
        </w:rPr>
        <w:t>；</w:t>
      </w:r>
    </w:p>
    <w:p w14:paraId="2D001744">
      <w:pPr>
        <w:spacing w:line="360" w:lineRule="auto"/>
        <w:ind w:firstLine="420" w:firstLineChars="200"/>
        <w:rPr>
          <w:rFonts w:ascii="宋体" w:cs="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r>
        <w:rPr>
          <w:rFonts w:hint="eastAsia" w:ascii="宋体" w:hAnsi="宋体"/>
          <w:color w:val="auto"/>
          <w:szCs w:val="21"/>
          <w:highlight w:val="none"/>
        </w:rPr>
        <w:t>）法律、法规约定及磋商文件约定的其他情形</w:t>
      </w:r>
      <w:r>
        <w:rPr>
          <w:rFonts w:hint="eastAsia" w:ascii="宋体" w:hAnsi="宋体" w:cs="宋体"/>
          <w:color w:val="auto"/>
          <w:szCs w:val="21"/>
          <w:highlight w:val="none"/>
        </w:rPr>
        <w:t>。</w:t>
      </w:r>
    </w:p>
    <w:p w14:paraId="54F2B0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供应商上述行为给采购人造成的损失超过磋商保证金数额的，供应商应当对超过部分予以赔偿。</w:t>
      </w:r>
    </w:p>
    <w:p w14:paraId="0B93C9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14.5、有下列情形之一的，视为供应商串通投标，其磋商响应无效：</w:t>
      </w:r>
    </w:p>
    <w:p w14:paraId="7D48077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（1）不同供应商的磋商响应文件由同一单位或者个人编制；</w:t>
      </w:r>
    </w:p>
    <w:p w14:paraId="266ACA9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（2）不同供应商委托同一单位或者个人办理磋商响应事宜；</w:t>
      </w:r>
    </w:p>
    <w:p w14:paraId="25A981C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（3）不同供应商的磋商响应文件载明的项目管理成员或联系人员为同一人；</w:t>
      </w:r>
    </w:p>
    <w:p w14:paraId="73C2E5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（4）不同供应商的磋商响应文件异常一致或者磋商响应报价呈规律性差异；</w:t>
      </w:r>
    </w:p>
    <w:p w14:paraId="3E6615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（5）不同供应商的磋商响应文件相互混装；</w:t>
      </w:r>
    </w:p>
    <w:p w14:paraId="2CED91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（6）不同供应商的磋商保证金从同一单位或者个人的账户转出。</w:t>
      </w:r>
    </w:p>
    <w:p w14:paraId="0E44A002">
      <w:pPr>
        <w:spacing w:line="360" w:lineRule="auto"/>
        <w:ind w:firstLine="420" w:firstLineChars="200"/>
        <w:rPr>
          <w:rFonts w:ascii="宋体" w:hAnsi="宋体"/>
          <w:b/>
          <w:color w:val="auto"/>
          <w:szCs w:val="21"/>
          <w:highlight w:val="none"/>
        </w:rPr>
      </w:pPr>
      <w:r>
        <w:rPr>
          <w:rFonts w:ascii="宋体" w:hAnsi="宋体" w:cs="宋体"/>
          <w:color w:val="auto"/>
          <w:szCs w:val="21"/>
          <w:highlight w:val="none"/>
        </w:rPr>
        <w:t>14.6</w:t>
      </w:r>
      <w:r>
        <w:rPr>
          <w:rFonts w:hint="eastAsia" w:ascii="宋体" w:hAnsi="宋体" w:cs="宋体"/>
          <w:color w:val="auto"/>
          <w:szCs w:val="21"/>
          <w:highlight w:val="none"/>
        </w:rPr>
        <w:t>、</w:t>
      </w:r>
      <w:r>
        <w:rPr>
          <w:rFonts w:hint="eastAsia" w:ascii="宋体" w:hAnsi="宋体"/>
          <w:b/>
          <w:color w:val="auto"/>
          <w:szCs w:val="21"/>
          <w:highlight w:val="none"/>
        </w:rPr>
        <w:t>供应商在本项目招标过程中有下列行为之一的，成交无效，给采购人造成的损失超过磋商保证金数额的，供应商还应对超过部分予以赔偿。构成犯罪的，依法追究刑事责任。</w:t>
      </w:r>
    </w:p>
    <w:p w14:paraId="5653FDB9">
      <w:pPr>
        <w:widowControl/>
        <w:spacing w:line="500" w:lineRule="exact"/>
        <w:ind w:firstLine="420" w:firstLineChars="200"/>
        <w:jc w:val="left"/>
        <w:rPr>
          <w:color w:val="auto"/>
          <w:highlight w:val="none"/>
        </w:rPr>
      </w:pPr>
      <w:r>
        <w:rPr>
          <w:rFonts w:hint="eastAsia"/>
          <w:color w:val="auto"/>
          <w:highlight w:val="none"/>
        </w:rPr>
        <w:t>（1）成交后无正当理由不与采购单位签订合同的；</w:t>
      </w:r>
    </w:p>
    <w:p w14:paraId="4207AC02">
      <w:pPr>
        <w:widowControl/>
        <w:spacing w:line="500" w:lineRule="exact"/>
        <w:ind w:firstLine="420" w:firstLineChars="200"/>
        <w:jc w:val="left"/>
        <w:rPr>
          <w:rFonts w:ascii="宋体" w:hAnsi="宋体"/>
          <w:color w:val="auto"/>
          <w:szCs w:val="21"/>
          <w:highlight w:val="none"/>
        </w:rPr>
      </w:pPr>
      <w:r>
        <w:rPr>
          <w:rFonts w:hint="eastAsia"/>
          <w:color w:val="auto"/>
          <w:highlight w:val="none"/>
        </w:rPr>
        <w:t>（2）</w:t>
      </w:r>
      <w:r>
        <w:rPr>
          <w:rFonts w:hint="eastAsia" w:ascii="宋体" w:hAnsi="宋体"/>
          <w:color w:val="auto"/>
          <w:szCs w:val="21"/>
          <w:highlight w:val="none"/>
        </w:rPr>
        <w:t>在签订合同时向采购人提出附加条件，或者不按照磋商文件要求提交履约保证金的；</w:t>
      </w:r>
    </w:p>
    <w:p w14:paraId="302A9277">
      <w:pPr>
        <w:widowControl/>
        <w:spacing w:line="500" w:lineRule="exact"/>
        <w:ind w:firstLine="420" w:firstLineChars="200"/>
        <w:jc w:val="left"/>
        <w:rPr>
          <w:color w:val="auto"/>
          <w:highlight w:val="none"/>
        </w:rPr>
      </w:pPr>
      <w:r>
        <w:rPr>
          <w:rFonts w:hint="eastAsia"/>
          <w:color w:val="auto"/>
          <w:highlight w:val="none"/>
        </w:rPr>
        <w:t>（3）将成交项目转让给他人，或在响应文件中未说明，将成交项目分包给他人的；</w:t>
      </w:r>
    </w:p>
    <w:p w14:paraId="4809FE22">
      <w:pPr>
        <w:spacing w:line="360" w:lineRule="auto"/>
        <w:ind w:firstLine="420" w:firstLineChars="200"/>
        <w:rPr>
          <w:color w:val="auto"/>
          <w:highlight w:val="none"/>
        </w:rPr>
      </w:pPr>
      <w:r>
        <w:rPr>
          <w:rFonts w:hint="eastAsia"/>
          <w:color w:val="auto"/>
          <w:highlight w:val="none"/>
        </w:rPr>
        <w:t>（4）</w:t>
      </w:r>
      <w:r>
        <w:rPr>
          <w:rFonts w:hint="eastAsia" w:ascii="宋体" w:hAnsi="宋体"/>
          <w:color w:val="auto"/>
          <w:szCs w:val="21"/>
          <w:highlight w:val="none"/>
        </w:rPr>
        <w:t>供应商相互串通或者与采购人串通的；</w:t>
      </w:r>
    </w:p>
    <w:p w14:paraId="3A6D8A3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（5）供应商以向采购人或者评标委员会成员行贿的手段谋取成交的；</w:t>
      </w:r>
    </w:p>
    <w:p w14:paraId="535430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（6）供应商以他人名义磋商或者以其他方式弄虚作假，骗取成交的；</w:t>
      </w:r>
    </w:p>
    <w:p w14:paraId="659A98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（7）违法与采购人就磋商价格、服务方案等实质性内容进行磋商，影响成交结果的；</w:t>
      </w:r>
    </w:p>
    <w:p w14:paraId="546F6D38">
      <w:pPr>
        <w:widowControl/>
        <w:spacing w:line="500" w:lineRule="exact"/>
        <w:ind w:firstLine="420" w:firstLineChars="200"/>
        <w:jc w:val="left"/>
        <w:rPr>
          <w:rFonts w:ascii="宋体" w:cs="宋体"/>
          <w:color w:val="auto"/>
          <w:highlight w:val="none"/>
        </w:rPr>
      </w:pPr>
      <w:r>
        <w:rPr>
          <w:rFonts w:hint="eastAsia" w:ascii="宋体" w:hAnsi="宋体"/>
          <w:color w:val="auto"/>
          <w:szCs w:val="21"/>
          <w:highlight w:val="none"/>
        </w:rPr>
        <w:t>（8）法律、法规规定及磋商文件约定的其他情形</w:t>
      </w:r>
      <w:r>
        <w:rPr>
          <w:rFonts w:hint="eastAsia" w:ascii="宋体" w:hAnsi="宋体" w:cs="宋体"/>
          <w:color w:val="auto"/>
          <w:highlight w:val="none"/>
        </w:rPr>
        <w:t>。</w:t>
      </w:r>
    </w:p>
    <w:p w14:paraId="16EE95C8">
      <w:pPr>
        <w:spacing w:line="360" w:lineRule="auto"/>
        <w:ind w:firstLine="422" w:firstLineChars="200"/>
        <w:outlineLvl w:val="3"/>
        <w:rPr>
          <w:rFonts w:ascii="宋体" w:cs="宋体"/>
          <w:b/>
          <w:color w:val="auto"/>
          <w:szCs w:val="21"/>
          <w:highlight w:val="none"/>
        </w:rPr>
      </w:pPr>
      <w:r>
        <w:rPr>
          <w:rFonts w:ascii="宋体" w:hAnsi="宋体" w:cs="宋体"/>
          <w:b/>
          <w:color w:val="auto"/>
          <w:szCs w:val="21"/>
          <w:highlight w:val="none"/>
        </w:rPr>
        <w:t>15</w:t>
      </w:r>
      <w:r>
        <w:rPr>
          <w:rFonts w:hint="eastAsia" w:ascii="宋体" w:hAnsi="宋体" w:cs="宋体"/>
          <w:b/>
          <w:color w:val="auto"/>
          <w:szCs w:val="21"/>
          <w:highlight w:val="none"/>
        </w:rPr>
        <w:t>、磋商有效期</w:t>
      </w:r>
    </w:p>
    <w:p w14:paraId="15052F92">
      <w:pPr>
        <w:spacing w:line="360" w:lineRule="auto"/>
        <w:ind w:firstLine="420" w:firstLineChars="200"/>
        <w:outlineLvl w:val="4"/>
        <w:rPr>
          <w:rFonts w:ascii="宋体" w:cs="宋体"/>
          <w:color w:val="auto"/>
          <w:szCs w:val="21"/>
          <w:highlight w:val="none"/>
        </w:rPr>
      </w:pPr>
      <w:r>
        <w:rPr>
          <w:rFonts w:ascii="宋体" w:hAnsi="宋体" w:cs="宋体"/>
          <w:color w:val="auto"/>
          <w:szCs w:val="21"/>
          <w:highlight w:val="none"/>
        </w:rPr>
        <w:t>15.1</w:t>
      </w:r>
      <w:r>
        <w:rPr>
          <w:rFonts w:hint="eastAsia" w:ascii="宋体" w:hAnsi="宋体" w:cs="宋体"/>
          <w:color w:val="auto"/>
          <w:szCs w:val="21"/>
          <w:highlight w:val="none"/>
        </w:rPr>
        <w:t>、磋商有效期见“磋商须知前附表”的约定。</w:t>
      </w:r>
    </w:p>
    <w:p w14:paraId="15C59357">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15.2</w:t>
      </w:r>
      <w:r>
        <w:rPr>
          <w:rFonts w:hint="eastAsia" w:ascii="宋体" w:hAnsi="宋体" w:cs="宋体"/>
          <w:color w:val="auto"/>
          <w:szCs w:val="21"/>
          <w:highlight w:val="none"/>
        </w:rPr>
        <w:t>、在磋商有效期内，供应商不得要求撤销或修改其响应文件。</w:t>
      </w:r>
    </w:p>
    <w:p w14:paraId="31F4F101">
      <w:pPr>
        <w:spacing w:line="360" w:lineRule="auto"/>
        <w:ind w:firstLine="420" w:firstLineChars="200"/>
        <w:outlineLvl w:val="4"/>
        <w:rPr>
          <w:rFonts w:ascii="宋体" w:cs="宋体"/>
          <w:color w:val="auto"/>
          <w:szCs w:val="21"/>
          <w:highlight w:val="none"/>
        </w:rPr>
      </w:pPr>
      <w:r>
        <w:rPr>
          <w:rFonts w:ascii="宋体" w:hAnsi="宋体" w:cs="宋体"/>
          <w:color w:val="auto"/>
          <w:szCs w:val="21"/>
          <w:highlight w:val="none"/>
        </w:rPr>
        <w:t>15.3</w:t>
      </w:r>
      <w:r>
        <w:rPr>
          <w:rFonts w:hint="eastAsia" w:ascii="宋体" w:hAnsi="宋体" w:cs="宋体"/>
          <w:color w:val="auto"/>
          <w:szCs w:val="21"/>
          <w:highlight w:val="none"/>
        </w:rPr>
        <w:t>、磋商有效期从响应文件提交截止时间算起。</w:t>
      </w:r>
    </w:p>
    <w:p w14:paraId="69543FE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15.4</w:t>
      </w:r>
      <w:r>
        <w:rPr>
          <w:rFonts w:hint="eastAsia" w:ascii="宋体" w:hAnsi="宋体" w:cs="宋体"/>
          <w:color w:val="auto"/>
          <w:szCs w:val="21"/>
          <w:highlight w:val="none"/>
        </w:rPr>
        <w:t xml:space="preserve">、在特殊情况下，采购单位可于原磋商有效期满之前，向成交候选人提出延长磋商有效期的要求。成交候选人可以拒绝采购单位的这种要求，且不影响其磋商保证金的退还，  </w:t>
      </w:r>
    </w:p>
    <w:p w14:paraId="72631CC2">
      <w:pPr>
        <w:spacing w:line="360" w:lineRule="auto"/>
        <w:rPr>
          <w:rFonts w:ascii="宋体" w:cs="宋体"/>
          <w:color w:val="auto"/>
          <w:szCs w:val="21"/>
          <w:highlight w:val="none"/>
        </w:rPr>
      </w:pPr>
      <w:r>
        <w:rPr>
          <w:rFonts w:hint="eastAsia" w:ascii="宋体" w:hAnsi="宋体" w:cs="宋体"/>
          <w:color w:val="auto"/>
          <w:szCs w:val="21"/>
          <w:highlight w:val="none"/>
        </w:rPr>
        <w:t>但是对拒绝延长磋商有效期的成交候选人，采购单位有权利拒绝其响应文件。同意延长磋商有效期的成交候选人既不能要求也不允许修改磋商文件和其响应文件所有内容。有关磋商保证金的约定，在延长的磋商有效期内继续有效。提出磋商有效期的延长要求和成交候选人对该要求的答复均须采用书面形式。</w:t>
      </w:r>
    </w:p>
    <w:p w14:paraId="5793CEA4">
      <w:pPr>
        <w:pStyle w:val="30"/>
        <w:spacing w:line="360" w:lineRule="exact"/>
        <w:ind w:firstLine="422" w:firstLineChars="200"/>
        <w:outlineLvl w:val="3"/>
        <w:rPr>
          <w:rFonts w:hAnsi="宋体" w:cs="宋体"/>
          <w:b/>
          <w:color w:val="auto"/>
          <w:highlight w:val="none"/>
        </w:rPr>
      </w:pPr>
      <w:r>
        <w:rPr>
          <w:rFonts w:hAnsi="宋体" w:cs="宋体"/>
          <w:b/>
          <w:color w:val="auto"/>
          <w:highlight w:val="none"/>
        </w:rPr>
        <w:t>16</w:t>
      </w:r>
      <w:r>
        <w:rPr>
          <w:rFonts w:hint="eastAsia" w:hAnsi="宋体" w:cs="宋体"/>
          <w:b/>
          <w:color w:val="auto"/>
          <w:highlight w:val="none"/>
        </w:rPr>
        <w:t>、响应文件的签署</w:t>
      </w:r>
    </w:p>
    <w:p w14:paraId="2AF0F3F3">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16.1</w:t>
      </w:r>
      <w:r>
        <w:rPr>
          <w:rFonts w:hint="eastAsia" w:ascii="宋体" w:hAnsi="宋体" w:cs="宋体"/>
          <w:color w:val="auto"/>
          <w:szCs w:val="21"/>
          <w:highlight w:val="none"/>
        </w:rPr>
        <w:t>、供应商应按本须知前附表约定的格式，编制并提交响应文件。</w:t>
      </w:r>
    </w:p>
    <w:p w14:paraId="207A279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16.2</w:t>
      </w:r>
      <w:r>
        <w:rPr>
          <w:rFonts w:hint="eastAsia" w:ascii="宋体" w:hAnsi="宋体" w:cs="宋体"/>
          <w:color w:val="auto"/>
          <w:szCs w:val="21"/>
          <w:highlight w:val="none"/>
        </w:rPr>
        <w:t>、响应文件应由供应商的法定代表人加盖印章，并加盖供应商公章。委托代理人须将法定代表人以书面形式出具的“法定代表人授权委托书”及其身份证复印件附在响应文件中。</w:t>
      </w:r>
    </w:p>
    <w:p w14:paraId="07A014DE">
      <w:pPr>
        <w:spacing w:line="360" w:lineRule="auto"/>
        <w:ind w:firstLine="420" w:firstLineChars="200"/>
        <w:outlineLvl w:val="4"/>
        <w:rPr>
          <w:rFonts w:ascii="宋体" w:hAnsi="宋体" w:cs="宋体"/>
          <w:color w:val="auto"/>
          <w:szCs w:val="21"/>
          <w:highlight w:val="none"/>
        </w:rPr>
      </w:pPr>
      <w:r>
        <w:rPr>
          <w:rFonts w:ascii="宋体" w:hAnsi="宋体" w:cs="宋体"/>
          <w:color w:val="auto"/>
          <w:szCs w:val="21"/>
          <w:highlight w:val="none"/>
        </w:rPr>
        <w:t>16.3</w:t>
      </w:r>
      <w:r>
        <w:rPr>
          <w:rFonts w:hint="eastAsia" w:ascii="宋体" w:hAnsi="宋体" w:cs="宋体"/>
          <w:color w:val="auto"/>
          <w:szCs w:val="21"/>
          <w:highlight w:val="none"/>
        </w:rPr>
        <w:t>、响应文件不得行间插字、涂改或增删。</w:t>
      </w:r>
    </w:p>
    <w:p w14:paraId="2DA92C96">
      <w:pPr>
        <w:spacing w:line="360" w:lineRule="auto"/>
        <w:ind w:firstLine="420" w:firstLineChars="200"/>
        <w:rPr>
          <w:rFonts w:hAnsi="宋体" w:cs="宋体"/>
          <w:color w:val="auto"/>
          <w:spacing w:val="-2"/>
          <w:highlight w:val="none"/>
        </w:rPr>
      </w:pPr>
      <w:r>
        <w:rPr>
          <w:rFonts w:ascii="宋体" w:hAnsi="宋体" w:cs="宋体"/>
          <w:color w:val="auto"/>
          <w:szCs w:val="21"/>
          <w:highlight w:val="none"/>
        </w:rPr>
        <w:t>16.4</w:t>
      </w:r>
      <w:r>
        <w:rPr>
          <w:rFonts w:hint="eastAsia" w:ascii="宋体" w:hAnsi="宋体" w:cs="宋体"/>
          <w:color w:val="auto"/>
          <w:szCs w:val="21"/>
          <w:highlight w:val="none"/>
        </w:rPr>
        <w:t>、</w:t>
      </w:r>
      <w:bookmarkStart w:id="174" w:name="_Toc11556"/>
      <w:bookmarkStart w:id="175" w:name="_Toc476584424"/>
      <w:r>
        <w:rPr>
          <w:rFonts w:hint="eastAsia" w:hAnsi="宋体" w:cs="宋体"/>
          <w:b/>
          <w:color w:val="auto"/>
          <w:highlight w:val="none"/>
        </w:rPr>
        <w:t>响应文件封面、磋商响应函</w:t>
      </w:r>
      <w:r>
        <w:rPr>
          <w:rFonts w:hint="eastAsia" w:hAnsi="宋体" w:cs="宋体"/>
          <w:b/>
          <w:color w:val="auto"/>
          <w:spacing w:val="-2"/>
          <w:highlight w:val="none"/>
        </w:rPr>
        <w:t>、服务报价表、服务内容及质量要求响应表</w:t>
      </w:r>
      <w:r>
        <w:rPr>
          <w:rFonts w:hint="eastAsia" w:hAnsi="宋体" w:cs="宋体"/>
          <w:b/>
          <w:color w:val="auto"/>
          <w:highlight w:val="none"/>
        </w:rPr>
        <w:t>均应加盖供应商公章并经法定代表人盖章或委托代理人签字或加盖印章。响应</w:t>
      </w:r>
      <w:r>
        <w:rPr>
          <w:rFonts w:hint="eastAsia" w:hAnsi="宋体" w:cs="宋体"/>
          <w:b/>
          <w:color w:val="auto"/>
          <w:spacing w:val="-2"/>
          <w:highlight w:val="none"/>
        </w:rPr>
        <w:t>文件封面、磋商响应函、服务报价表、服务内容及质量要求响应表不符合磋商文件要求的，视为无效标。</w:t>
      </w:r>
      <w:r>
        <w:rPr>
          <w:rFonts w:hint="eastAsia" w:hAnsi="宋体" w:cs="宋体"/>
          <w:color w:val="auto"/>
          <w:highlight w:val="none"/>
        </w:rPr>
        <w:t>由委托代理人签字或盖章的，在响应文件中须同时提交法定代表人授权委托书。法定代表人授权委托书格式、签字</w:t>
      </w:r>
      <w:r>
        <w:rPr>
          <w:rFonts w:hint="eastAsia" w:hAnsi="宋体" w:cs="宋体"/>
          <w:color w:val="auto"/>
          <w:spacing w:val="-2"/>
          <w:highlight w:val="none"/>
        </w:rPr>
        <w:t>盖章及内容均应符合磋商文件要求，否则</w:t>
      </w:r>
      <w:r>
        <w:rPr>
          <w:rFonts w:hint="eastAsia" w:hAnsi="宋体" w:cs="宋体"/>
          <w:color w:val="auto"/>
          <w:highlight w:val="none"/>
        </w:rPr>
        <w:t>法定代表人授权委托书无效</w:t>
      </w:r>
      <w:r>
        <w:rPr>
          <w:rFonts w:hint="eastAsia" w:hAnsi="宋体" w:cs="宋体"/>
          <w:color w:val="auto"/>
          <w:spacing w:val="-2"/>
          <w:highlight w:val="none"/>
        </w:rPr>
        <w:t>。</w:t>
      </w:r>
    </w:p>
    <w:p w14:paraId="63C4F3D0">
      <w:pPr>
        <w:spacing w:line="360" w:lineRule="auto"/>
        <w:ind w:firstLine="420" w:firstLineChars="200"/>
        <w:outlineLvl w:val="2"/>
        <w:rPr>
          <w:rFonts w:cs="宋体"/>
          <w:color w:val="auto"/>
          <w:highlight w:val="none"/>
        </w:rPr>
      </w:pPr>
      <w:bookmarkStart w:id="176" w:name="_Toc15273"/>
      <w:bookmarkStart w:id="177" w:name="_Toc25144"/>
      <w:bookmarkStart w:id="178" w:name="_Toc13027"/>
      <w:bookmarkStart w:id="179" w:name="_Toc16524"/>
      <w:r>
        <w:rPr>
          <w:rFonts w:hint="eastAsia" w:cs="宋体"/>
          <w:color w:val="auto"/>
          <w:highlight w:val="none"/>
        </w:rPr>
        <w:t>四、响应文件的</w:t>
      </w:r>
      <w:bookmarkEnd w:id="174"/>
      <w:bookmarkEnd w:id="175"/>
      <w:r>
        <w:rPr>
          <w:rFonts w:hint="eastAsia" w:cs="宋体"/>
          <w:color w:val="auto"/>
          <w:highlight w:val="none"/>
        </w:rPr>
        <w:t>提交</w:t>
      </w:r>
      <w:bookmarkEnd w:id="176"/>
      <w:bookmarkEnd w:id="177"/>
      <w:bookmarkEnd w:id="178"/>
      <w:bookmarkEnd w:id="179"/>
    </w:p>
    <w:p w14:paraId="644A8D08">
      <w:pPr>
        <w:spacing w:line="360" w:lineRule="auto"/>
        <w:ind w:firstLine="422" w:firstLineChars="200"/>
        <w:outlineLvl w:val="3"/>
        <w:rPr>
          <w:rFonts w:ascii="宋体" w:hAnsi="宋体" w:cs="宋体"/>
          <w:b/>
          <w:color w:val="auto"/>
          <w:szCs w:val="21"/>
          <w:highlight w:val="none"/>
        </w:rPr>
      </w:pPr>
      <w:r>
        <w:rPr>
          <w:rFonts w:ascii="宋体" w:hAnsi="宋体" w:cs="宋体"/>
          <w:b/>
          <w:color w:val="auto"/>
          <w:szCs w:val="21"/>
          <w:highlight w:val="none"/>
        </w:rPr>
        <w:t>17</w:t>
      </w:r>
      <w:r>
        <w:rPr>
          <w:rFonts w:hint="eastAsia" w:ascii="宋体" w:hAnsi="宋体" w:cs="宋体"/>
          <w:b/>
          <w:color w:val="auto"/>
          <w:szCs w:val="21"/>
          <w:highlight w:val="none"/>
        </w:rPr>
        <w:t>、提交说明</w:t>
      </w:r>
    </w:p>
    <w:p w14:paraId="0A3163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17.1、供应商须按磋商须知前附表要求上传加密电子磋商响应文件。</w:t>
      </w:r>
    </w:p>
    <w:p w14:paraId="654C5283">
      <w:pPr>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17.2、磋商响应文件电子光盘的密封和标记。</w:t>
      </w:r>
    </w:p>
    <w:p w14:paraId="2F8369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17.2.1、供应商应将电子光盘装于一个袋内，包装密封，并于密封袋上加盖供应商公章。</w:t>
      </w:r>
    </w:p>
    <w:p w14:paraId="511536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17.2.2、密封袋上应写明：</w:t>
      </w:r>
    </w:p>
    <w:p w14:paraId="5E9213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p>
    <w:p w14:paraId="4B9E05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采购人名称、</w:t>
      </w:r>
    </w:p>
    <w:p w14:paraId="1CE6C8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供应商名称（加盖供应商公章）。</w:t>
      </w:r>
    </w:p>
    <w:p w14:paraId="11379D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17.2.3、供应商须按磋商须知前附表要求提交电子光盘。</w:t>
      </w:r>
    </w:p>
    <w:p w14:paraId="48675B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17.3、未按磋商须知要求上传、提交、密封和标记的磋商响应文件，将不被接受。</w:t>
      </w:r>
    </w:p>
    <w:p w14:paraId="46977578">
      <w:pPr>
        <w:spacing w:line="360" w:lineRule="auto"/>
        <w:ind w:firstLine="422" w:firstLineChars="200"/>
        <w:outlineLvl w:val="3"/>
        <w:rPr>
          <w:rFonts w:ascii="宋体" w:cs="宋体"/>
          <w:b/>
          <w:color w:val="auto"/>
          <w:szCs w:val="21"/>
          <w:highlight w:val="none"/>
        </w:rPr>
      </w:pPr>
      <w:r>
        <w:rPr>
          <w:rFonts w:ascii="宋体" w:hAnsi="宋体" w:cs="宋体"/>
          <w:b/>
          <w:color w:val="auto"/>
          <w:szCs w:val="21"/>
          <w:highlight w:val="none"/>
        </w:rPr>
        <w:t>18</w:t>
      </w:r>
      <w:r>
        <w:rPr>
          <w:rFonts w:hint="eastAsia" w:ascii="宋体" w:hAnsi="宋体" w:cs="宋体"/>
          <w:b/>
          <w:color w:val="auto"/>
          <w:szCs w:val="21"/>
          <w:highlight w:val="none"/>
        </w:rPr>
        <w:t>、磋商时间</w:t>
      </w:r>
    </w:p>
    <w:p w14:paraId="3A6FA0C8">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18.1、供应商应在磋商须知前附表中约定的提交响应文件截止时间前将加密电子磋商响应文件（.AQTF格式）上传，并将电子光盘（</w:t>
      </w:r>
      <w:r>
        <w:rPr>
          <w:rFonts w:hint="eastAsia" w:ascii="宋体" w:hAnsi="宋体" w:cs="宋体"/>
          <w:color w:val="auto"/>
          <w:kern w:val="0"/>
          <w:szCs w:val="21"/>
          <w:highlight w:val="none"/>
        </w:rPr>
        <w:t>磋商响应文件非加密版.nAQTF格式</w:t>
      </w:r>
      <w:r>
        <w:rPr>
          <w:rFonts w:hint="eastAsia" w:ascii="宋体" w:hAnsi="宋体" w:cs="宋体"/>
          <w:color w:val="auto"/>
          <w:szCs w:val="21"/>
          <w:highlight w:val="none"/>
        </w:rPr>
        <w:t>）提交至指定地点。逾期上传、送达或者未按要求送达指定地点的磋商响应文件，采购单位不予受理。</w:t>
      </w:r>
    </w:p>
    <w:p w14:paraId="1AFE3EAB">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18.2、采购人有权按本须知的约定，通过修改竞争性磋商文件相关条款以延长提交响应文件截止时间。在此情况下，采购人和供应商受提交响应文件截止时间制约的所有权利和义务均应延长至新的提交响应文件截止时间。</w:t>
      </w:r>
    </w:p>
    <w:p w14:paraId="052EAE04">
      <w:pPr>
        <w:spacing w:line="360" w:lineRule="auto"/>
        <w:ind w:firstLine="422" w:firstLineChars="200"/>
        <w:outlineLvl w:val="3"/>
        <w:rPr>
          <w:rFonts w:ascii="宋体" w:cs="宋体"/>
          <w:b/>
          <w:color w:val="auto"/>
          <w:szCs w:val="21"/>
          <w:highlight w:val="none"/>
        </w:rPr>
      </w:pPr>
      <w:r>
        <w:rPr>
          <w:rFonts w:ascii="宋体" w:hAnsi="宋体" w:cs="宋体"/>
          <w:b/>
          <w:color w:val="auto"/>
          <w:szCs w:val="21"/>
          <w:highlight w:val="none"/>
        </w:rPr>
        <w:t>19</w:t>
      </w:r>
      <w:r>
        <w:rPr>
          <w:rFonts w:hint="eastAsia" w:ascii="宋体" w:hAnsi="宋体" w:cs="宋体"/>
          <w:b/>
          <w:color w:val="auto"/>
          <w:szCs w:val="21"/>
          <w:highlight w:val="none"/>
        </w:rPr>
        <w:t>、响应文件的修改与撤回</w:t>
      </w:r>
    </w:p>
    <w:p w14:paraId="7837E3A1">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19.1、供应商提交磋商响应文件以后，在约定的提交响应文件截止时间之前，可以撤回已提交的磋商响应文件，补充修改后重新上传。</w:t>
      </w:r>
    </w:p>
    <w:p w14:paraId="1C9948F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w:t>
      </w:r>
      <w:r>
        <w:rPr>
          <w:rFonts w:hint="eastAsia" w:ascii="宋体" w:hAnsi="宋体" w:cs="宋体"/>
          <w:color w:val="auto"/>
          <w:szCs w:val="21"/>
          <w:highlight w:val="none"/>
        </w:rPr>
        <w:t>2、在磋商时间之后，供应商不得对其响应文件做任何修改。</w:t>
      </w:r>
    </w:p>
    <w:p w14:paraId="7255745B">
      <w:pPr>
        <w:spacing w:line="360" w:lineRule="auto"/>
        <w:ind w:firstLine="420" w:firstLineChars="200"/>
        <w:rPr>
          <w:rFonts w:ascii="宋体" w:cs="宋体"/>
          <w:color w:val="auto"/>
          <w:szCs w:val="21"/>
          <w:highlight w:val="none"/>
        </w:rPr>
      </w:pPr>
      <w:r>
        <w:rPr>
          <w:rFonts w:ascii="宋体" w:hAnsi="宋体" w:cs="宋体"/>
          <w:color w:val="auto"/>
          <w:szCs w:val="21"/>
          <w:highlight w:val="none"/>
        </w:rPr>
        <w:t>19.</w:t>
      </w:r>
      <w:r>
        <w:rPr>
          <w:rFonts w:hint="eastAsia" w:ascii="宋体" w:hAnsi="宋体" w:cs="宋体"/>
          <w:color w:val="auto"/>
          <w:szCs w:val="21"/>
          <w:highlight w:val="none"/>
        </w:rPr>
        <w:t>3、在约定的磋商有效期内，供应商不得撤回其响应文件。</w:t>
      </w:r>
    </w:p>
    <w:p w14:paraId="0CE8FF79">
      <w:pPr>
        <w:pStyle w:val="8"/>
        <w:spacing w:line="360" w:lineRule="auto"/>
        <w:ind w:firstLine="413" w:firstLineChars="196"/>
        <w:rPr>
          <w:rFonts w:cs="宋体"/>
          <w:color w:val="auto"/>
          <w:highlight w:val="none"/>
        </w:rPr>
      </w:pPr>
      <w:bookmarkStart w:id="180" w:name="_Toc22066"/>
      <w:bookmarkStart w:id="181" w:name="_Toc476584425"/>
      <w:bookmarkStart w:id="182" w:name="_Toc12109"/>
      <w:bookmarkStart w:id="183" w:name="_Toc28224"/>
      <w:bookmarkStart w:id="184" w:name="_Toc19303"/>
      <w:bookmarkStart w:id="185" w:name="_Toc26058"/>
      <w:r>
        <w:rPr>
          <w:rFonts w:hint="eastAsia" w:cs="宋体"/>
          <w:color w:val="auto"/>
          <w:highlight w:val="none"/>
        </w:rPr>
        <w:t>五、</w:t>
      </w:r>
      <w:bookmarkEnd w:id="180"/>
      <w:bookmarkEnd w:id="181"/>
      <w:r>
        <w:rPr>
          <w:rFonts w:hint="eastAsia" w:cs="宋体"/>
          <w:color w:val="auto"/>
          <w:highlight w:val="none"/>
        </w:rPr>
        <w:t>磋商</w:t>
      </w:r>
      <w:bookmarkEnd w:id="182"/>
      <w:bookmarkEnd w:id="183"/>
      <w:bookmarkEnd w:id="184"/>
      <w:bookmarkEnd w:id="185"/>
    </w:p>
    <w:p w14:paraId="4FB2E9BF">
      <w:pPr>
        <w:spacing w:line="360" w:lineRule="auto"/>
        <w:ind w:firstLine="422" w:firstLineChars="200"/>
        <w:rPr>
          <w:rFonts w:ascii="宋体" w:cs="宋体"/>
          <w:color w:val="auto"/>
          <w:szCs w:val="21"/>
          <w:highlight w:val="none"/>
        </w:rPr>
      </w:pPr>
      <w:r>
        <w:rPr>
          <w:rFonts w:ascii="宋体" w:hAnsi="宋体" w:cs="宋体"/>
          <w:b/>
          <w:color w:val="auto"/>
          <w:szCs w:val="21"/>
          <w:highlight w:val="none"/>
        </w:rPr>
        <w:t>20</w:t>
      </w:r>
      <w:r>
        <w:rPr>
          <w:rFonts w:hint="eastAsia" w:ascii="宋体" w:hAnsi="宋体" w:cs="宋体"/>
          <w:b/>
          <w:color w:val="auto"/>
          <w:szCs w:val="21"/>
          <w:highlight w:val="none"/>
        </w:rPr>
        <w:t>、磋商时间和地点：</w:t>
      </w:r>
      <w:r>
        <w:rPr>
          <w:rFonts w:hint="eastAsia" w:ascii="宋体" w:hAnsi="宋体" w:cs="宋体"/>
          <w:color w:val="auto"/>
          <w:szCs w:val="21"/>
          <w:highlight w:val="none"/>
        </w:rPr>
        <w:t>采购单位将在“磋商须知前附表”约定的时间和地点磋商，</w:t>
      </w:r>
      <w:r>
        <w:rPr>
          <w:rFonts w:hint="eastAsia" w:ascii="宋体" w:hAnsi="宋体"/>
          <w:color w:val="auto"/>
          <w:szCs w:val="21"/>
          <w:highlight w:val="none"/>
        </w:rPr>
        <w:t>并邀请监督人员、</w:t>
      </w:r>
      <w:r>
        <w:rPr>
          <w:rFonts w:hint="eastAsia" w:ascii="宋体" w:hAnsi="宋体" w:cs="宋体"/>
          <w:color w:val="auto"/>
          <w:szCs w:val="21"/>
          <w:highlight w:val="none"/>
        </w:rPr>
        <w:t>所有供应商的法定代表人或其委托代理人按时参加。</w:t>
      </w:r>
    </w:p>
    <w:p w14:paraId="45EC360B">
      <w:pPr>
        <w:spacing w:line="360" w:lineRule="auto"/>
        <w:ind w:firstLine="422" w:firstLineChars="200"/>
        <w:outlineLvl w:val="3"/>
        <w:rPr>
          <w:rFonts w:ascii="宋体" w:cs="宋体"/>
          <w:b/>
          <w:color w:val="auto"/>
          <w:szCs w:val="21"/>
          <w:highlight w:val="none"/>
        </w:rPr>
      </w:pPr>
      <w:r>
        <w:rPr>
          <w:rFonts w:ascii="宋体" w:hAnsi="宋体" w:cs="宋体"/>
          <w:b/>
          <w:color w:val="auto"/>
          <w:szCs w:val="21"/>
          <w:highlight w:val="none"/>
        </w:rPr>
        <w:t>21</w:t>
      </w:r>
      <w:r>
        <w:rPr>
          <w:rFonts w:hint="eastAsia" w:ascii="宋体" w:hAnsi="宋体" w:cs="宋体"/>
          <w:b/>
          <w:color w:val="auto"/>
          <w:szCs w:val="21"/>
          <w:highlight w:val="none"/>
        </w:rPr>
        <w:t>、开标程序</w:t>
      </w:r>
    </w:p>
    <w:p w14:paraId="331BE75F">
      <w:pPr>
        <w:pStyle w:val="30"/>
        <w:spacing w:line="480" w:lineRule="exact"/>
        <w:ind w:firstLine="420" w:firstLineChars="200"/>
        <w:outlineLvl w:val="4"/>
        <w:rPr>
          <w:rFonts w:hAnsi="宋体"/>
          <w:color w:val="auto"/>
          <w:highlight w:val="none"/>
        </w:rPr>
      </w:pPr>
      <w:r>
        <w:rPr>
          <w:rFonts w:hAnsi="宋体"/>
          <w:color w:val="auto"/>
          <w:highlight w:val="none"/>
        </w:rPr>
        <w:t>21.1</w:t>
      </w:r>
      <w:r>
        <w:rPr>
          <w:rFonts w:hint="eastAsia" w:hAnsi="宋体"/>
          <w:color w:val="auto"/>
          <w:highlight w:val="none"/>
        </w:rPr>
        <w:t>磋商由采购单位代表主持，主持人按下列程序进行：</w:t>
      </w:r>
    </w:p>
    <w:p w14:paraId="0B0261D4">
      <w:pPr>
        <w:pStyle w:val="30"/>
        <w:spacing w:line="480" w:lineRule="exact"/>
        <w:ind w:left="420" w:leftChars="200"/>
        <w:rPr>
          <w:rFonts w:hAnsi="宋体" w:cs="宋体"/>
          <w:color w:val="auto"/>
          <w:highlight w:val="none"/>
        </w:rPr>
      </w:pPr>
      <w:r>
        <w:rPr>
          <w:rFonts w:hAnsi="宋体"/>
          <w:color w:val="auto"/>
          <w:highlight w:val="none"/>
        </w:rPr>
        <w:t>21.1.1</w:t>
      </w:r>
      <w:r>
        <w:rPr>
          <w:rFonts w:hint="eastAsia" w:hAnsi="宋体" w:cs="宋体"/>
          <w:color w:val="auto"/>
          <w:highlight w:val="none"/>
        </w:rPr>
        <w:t>宣布项目名称、介绍参会人员；</w:t>
      </w:r>
    </w:p>
    <w:p w14:paraId="157BD0BE">
      <w:pPr>
        <w:pStyle w:val="30"/>
        <w:spacing w:line="480" w:lineRule="exact"/>
        <w:ind w:left="420" w:leftChars="200"/>
        <w:rPr>
          <w:rFonts w:hAnsi="宋体"/>
          <w:color w:val="auto"/>
          <w:highlight w:val="none"/>
        </w:rPr>
      </w:pPr>
      <w:r>
        <w:rPr>
          <w:rFonts w:hint="eastAsia" w:hAnsi="宋体" w:cs="宋体"/>
          <w:color w:val="auto"/>
          <w:highlight w:val="none"/>
        </w:rPr>
        <w:t>21.1.2</w:t>
      </w:r>
      <w:r>
        <w:rPr>
          <w:rFonts w:hint="eastAsia" w:hAnsi="宋体"/>
          <w:color w:val="auto"/>
          <w:highlight w:val="none"/>
        </w:rPr>
        <w:t>宣布磋商纪律；</w:t>
      </w:r>
    </w:p>
    <w:p w14:paraId="4036BAB6">
      <w:pPr>
        <w:pStyle w:val="30"/>
        <w:spacing w:line="480" w:lineRule="exact"/>
        <w:ind w:left="420" w:leftChars="200"/>
        <w:rPr>
          <w:rFonts w:hAnsi="宋体"/>
          <w:color w:val="auto"/>
          <w:highlight w:val="none"/>
        </w:rPr>
      </w:pPr>
      <w:r>
        <w:rPr>
          <w:rFonts w:hAnsi="宋体"/>
          <w:color w:val="auto"/>
          <w:highlight w:val="none"/>
        </w:rPr>
        <w:t>21.1.</w:t>
      </w:r>
      <w:r>
        <w:rPr>
          <w:rFonts w:hint="eastAsia" w:hAnsi="宋体"/>
          <w:color w:val="auto"/>
          <w:highlight w:val="none"/>
        </w:rPr>
        <w:t>3查验供应商相关证件资料并由查验人宣布查验结果；</w:t>
      </w:r>
    </w:p>
    <w:p w14:paraId="0A7B5D70">
      <w:pPr>
        <w:pStyle w:val="30"/>
        <w:spacing w:line="480" w:lineRule="exact"/>
        <w:ind w:left="420" w:leftChars="200"/>
        <w:rPr>
          <w:rFonts w:hAnsi="宋体"/>
          <w:color w:val="auto"/>
          <w:highlight w:val="none"/>
        </w:rPr>
      </w:pPr>
      <w:r>
        <w:rPr>
          <w:rFonts w:hAnsi="宋体"/>
          <w:color w:val="auto"/>
          <w:highlight w:val="none"/>
        </w:rPr>
        <w:t>21.1.</w:t>
      </w:r>
      <w:r>
        <w:rPr>
          <w:rFonts w:hint="eastAsia" w:hAnsi="宋体"/>
          <w:color w:val="auto"/>
          <w:highlight w:val="none"/>
        </w:rPr>
        <w:t>4由各供应商互相检查响应文件的密封（加密）情况，并确认供应商是否存在异议；</w:t>
      </w:r>
    </w:p>
    <w:p w14:paraId="70603CB0">
      <w:pPr>
        <w:widowControl/>
        <w:spacing w:line="500" w:lineRule="exact"/>
        <w:ind w:firstLine="420" w:firstLineChars="200"/>
        <w:jc w:val="left"/>
        <w:rPr>
          <w:rFonts w:ascii="宋体" w:hAnsi="宋体" w:cs="宋体"/>
          <w:color w:val="auto"/>
          <w:szCs w:val="21"/>
          <w:highlight w:val="none"/>
        </w:rPr>
      </w:pPr>
      <w:r>
        <w:rPr>
          <w:rFonts w:ascii="宋体" w:hAnsi="宋体" w:cs="Courier New"/>
          <w:color w:val="auto"/>
          <w:szCs w:val="21"/>
          <w:highlight w:val="none"/>
        </w:rPr>
        <w:t>21.1.</w:t>
      </w:r>
      <w:r>
        <w:rPr>
          <w:rFonts w:hint="eastAsia" w:ascii="宋体" w:hAnsi="宋体" w:cs="Courier New"/>
          <w:color w:val="auto"/>
          <w:szCs w:val="21"/>
          <w:highlight w:val="none"/>
        </w:rPr>
        <w:t>5</w:t>
      </w:r>
      <w:r>
        <w:rPr>
          <w:rFonts w:hint="eastAsia" w:ascii="宋体" w:hAnsi="宋体" w:cs="宋体"/>
          <w:color w:val="auto"/>
          <w:szCs w:val="21"/>
          <w:highlight w:val="none"/>
        </w:rPr>
        <w:t>各供应商在解密开始时间后分别在5分钟内完成磋商响应文件的解密工作；</w:t>
      </w:r>
    </w:p>
    <w:p w14:paraId="1F4B20ED">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21.1.6采购单位解密；　</w:t>
      </w:r>
    </w:p>
    <w:p w14:paraId="658E2178">
      <w:pPr>
        <w:pStyle w:val="30"/>
        <w:spacing w:line="480" w:lineRule="exact"/>
        <w:ind w:left="420" w:leftChars="200"/>
        <w:rPr>
          <w:rFonts w:hAnsi="宋体"/>
          <w:color w:val="auto"/>
          <w:highlight w:val="none"/>
        </w:rPr>
      </w:pPr>
      <w:r>
        <w:rPr>
          <w:rFonts w:hint="eastAsia" w:hAnsi="宋体" w:cs="宋体"/>
          <w:color w:val="auto"/>
          <w:highlight w:val="none"/>
        </w:rPr>
        <w:t>21.1.7依次当众唱标，公布供应商名称、磋商响应首轮报价及磋商响应函其他内容，并记录在案；</w:t>
      </w:r>
      <w:r>
        <w:rPr>
          <w:rFonts w:hint="eastAsia" w:hAnsi="宋体" w:cs="宋体"/>
          <w:color w:val="auto"/>
          <w:highlight w:val="none"/>
        </w:rPr>
        <w:cr/>
      </w:r>
      <w:r>
        <w:rPr>
          <w:rFonts w:hAnsi="宋体"/>
          <w:color w:val="auto"/>
          <w:highlight w:val="none"/>
        </w:rPr>
        <w:t>21.1.</w:t>
      </w:r>
      <w:r>
        <w:rPr>
          <w:rFonts w:hint="eastAsia" w:hAnsi="宋体"/>
          <w:color w:val="auto"/>
          <w:highlight w:val="none"/>
        </w:rPr>
        <w:t>8</w:t>
      </w:r>
      <w:r>
        <w:rPr>
          <w:rFonts w:hAnsi="宋体"/>
          <w:color w:val="auto"/>
          <w:highlight w:val="none"/>
        </w:rPr>
        <w:t xml:space="preserve"> </w:t>
      </w:r>
      <w:r>
        <w:rPr>
          <w:rFonts w:hint="eastAsia" w:hAnsi="宋体"/>
          <w:color w:val="auto"/>
          <w:highlight w:val="none"/>
        </w:rPr>
        <w:t>供应商代表、采购人代表、监督人、记录人等有关人员在磋商记录上签字确认；</w:t>
      </w:r>
      <w:r>
        <w:rPr>
          <w:rFonts w:hAnsi="宋体"/>
          <w:color w:val="auto"/>
          <w:highlight w:val="none"/>
        </w:rPr>
        <w:t>21.1.</w:t>
      </w:r>
      <w:r>
        <w:rPr>
          <w:rFonts w:hint="eastAsia" w:hAnsi="宋体"/>
          <w:color w:val="auto"/>
          <w:highlight w:val="none"/>
        </w:rPr>
        <w:t>9暂时休会，进入评审阶段；</w:t>
      </w:r>
    </w:p>
    <w:p w14:paraId="5F47DBA8">
      <w:pPr>
        <w:pStyle w:val="30"/>
        <w:spacing w:line="480" w:lineRule="exact"/>
        <w:ind w:left="420" w:leftChars="200"/>
        <w:rPr>
          <w:rFonts w:hAnsi="宋体"/>
          <w:color w:val="auto"/>
          <w:highlight w:val="none"/>
        </w:rPr>
      </w:pPr>
      <w:r>
        <w:rPr>
          <w:rFonts w:hAnsi="宋体"/>
          <w:color w:val="auto"/>
          <w:highlight w:val="none"/>
        </w:rPr>
        <w:t>21.1.</w:t>
      </w:r>
      <w:r>
        <w:rPr>
          <w:rFonts w:hint="eastAsia" w:hAnsi="宋体"/>
          <w:color w:val="auto"/>
          <w:highlight w:val="none"/>
        </w:rPr>
        <w:t>10磋商小组对响应文件进行详细评审；</w:t>
      </w:r>
    </w:p>
    <w:p w14:paraId="30921EE5">
      <w:pPr>
        <w:pStyle w:val="30"/>
        <w:spacing w:line="480" w:lineRule="exact"/>
        <w:ind w:left="420" w:leftChars="200"/>
        <w:rPr>
          <w:rFonts w:hAnsi="宋体"/>
          <w:color w:val="auto"/>
          <w:highlight w:val="none"/>
        </w:rPr>
      </w:pPr>
      <w:r>
        <w:rPr>
          <w:rFonts w:hAnsi="宋体"/>
          <w:color w:val="auto"/>
          <w:highlight w:val="none"/>
        </w:rPr>
        <w:t>21.1.</w:t>
      </w:r>
      <w:r>
        <w:rPr>
          <w:rFonts w:hint="eastAsia" w:hAnsi="宋体"/>
          <w:color w:val="auto"/>
          <w:highlight w:val="none"/>
        </w:rPr>
        <w:t>11磋商小组集中与各供应商分别进行磋商；</w:t>
      </w:r>
    </w:p>
    <w:p w14:paraId="0FBB5FA7">
      <w:pPr>
        <w:pStyle w:val="30"/>
        <w:spacing w:line="480" w:lineRule="exact"/>
        <w:ind w:left="420" w:leftChars="200"/>
        <w:rPr>
          <w:rFonts w:hAnsi="宋体"/>
          <w:color w:val="auto"/>
          <w:highlight w:val="none"/>
        </w:rPr>
      </w:pPr>
      <w:r>
        <w:rPr>
          <w:rFonts w:hAnsi="宋体"/>
          <w:color w:val="auto"/>
          <w:highlight w:val="none"/>
        </w:rPr>
        <w:t>21.1.1</w:t>
      </w:r>
      <w:r>
        <w:rPr>
          <w:rFonts w:hint="eastAsia" w:hAnsi="宋体"/>
          <w:color w:val="auto"/>
          <w:highlight w:val="none"/>
        </w:rPr>
        <w:t>2实质性响应磋商文件的供应商进行最后报价；</w:t>
      </w:r>
    </w:p>
    <w:p w14:paraId="1C07EE71">
      <w:pPr>
        <w:pStyle w:val="30"/>
        <w:spacing w:line="480" w:lineRule="exact"/>
        <w:ind w:left="420" w:leftChars="200"/>
        <w:rPr>
          <w:rFonts w:hAnsi="宋体"/>
          <w:color w:val="auto"/>
          <w:highlight w:val="none"/>
        </w:rPr>
      </w:pPr>
      <w:r>
        <w:rPr>
          <w:rFonts w:hAnsi="宋体"/>
          <w:color w:val="auto"/>
          <w:highlight w:val="none"/>
        </w:rPr>
        <w:t>21.1.1</w:t>
      </w:r>
      <w:r>
        <w:rPr>
          <w:rFonts w:hint="eastAsia" w:hAnsi="宋体"/>
          <w:color w:val="auto"/>
          <w:highlight w:val="none"/>
        </w:rPr>
        <w:t>3磋商小组进行综合评分并编写评审报告</w:t>
      </w:r>
    </w:p>
    <w:p w14:paraId="25348CC0">
      <w:pPr>
        <w:pStyle w:val="30"/>
        <w:spacing w:line="480" w:lineRule="exact"/>
        <w:ind w:left="420" w:leftChars="200"/>
        <w:rPr>
          <w:rFonts w:hAnsi="宋体"/>
          <w:color w:val="auto"/>
          <w:highlight w:val="none"/>
        </w:rPr>
      </w:pPr>
      <w:r>
        <w:rPr>
          <w:rFonts w:hAnsi="宋体"/>
          <w:color w:val="auto"/>
          <w:highlight w:val="none"/>
        </w:rPr>
        <w:t>21.1.1</w:t>
      </w:r>
      <w:r>
        <w:rPr>
          <w:rFonts w:hint="eastAsia" w:hAnsi="宋体"/>
          <w:color w:val="auto"/>
          <w:highlight w:val="none"/>
        </w:rPr>
        <w:t>4复会，宣布评审结果；</w:t>
      </w:r>
    </w:p>
    <w:p w14:paraId="6C52F2CA">
      <w:pPr>
        <w:autoSpaceDE w:val="0"/>
        <w:autoSpaceDN w:val="0"/>
        <w:adjustRightInd w:val="0"/>
        <w:snapToGrid w:val="0"/>
        <w:spacing w:line="480" w:lineRule="exact"/>
        <w:ind w:firstLine="420"/>
        <w:rPr>
          <w:rFonts w:ascii="宋体" w:hAnsi="宋体"/>
          <w:color w:val="auto"/>
          <w:szCs w:val="21"/>
          <w:highlight w:val="none"/>
        </w:rPr>
      </w:pPr>
      <w:r>
        <w:rPr>
          <w:rFonts w:ascii="宋体" w:hAnsi="宋体"/>
          <w:color w:val="auto"/>
          <w:szCs w:val="21"/>
          <w:highlight w:val="none"/>
        </w:rPr>
        <w:t>21.1.1</w:t>
      </w:r>
      <w:r>
        <w:rPr>
          <w:rFonts w:hint="eastAsia" w:ascii="宋体" w:hAnsi="宋体"/>
          <w:color w:val="auto"/>
          <w:szCs w:val="21"/>
          <w:highlight w:val="none"/>
        </w:rPr>
        <w:t>5磋商结束。</w:t>
      </w:r>
    </w:p>
    <w:p w14:paraId="3490AF26">
      <w:pPr>
        <w:spacing w:line="360" w:lineRule="auto"/>
        <w:ind w:firstLine="422" w:firstLineChars="200"/>
        <w:outlineLvl w:val="4"/>
        <w:rPr>
          <w:rFonts w:ascii="宋体" w:cs="宋体"/>
          <w:b/>
          <w:color w:val="auto"/>
          <w:szCs w:val="21"/>
          <w:highlight w:val="none"/>
        </w:rPr>
      </w:pPr>
      <w:r>
        <w:rPr>
          <w:rFonts w:ascii="宋体" w:hAnsi="宋体" w:cs="宋体"/>
          <w:b/>
          <w:color w:val="auto"/>
          <w:szCs w:val="21"/>
          <w:highlight w:val="none"/>
        </w:rPr>
        <w:t>21.2</w:t>
      </w:r>
      <w:r>
        <w:rPr>
          <w:rFonts w:hint="eastAsia" w:ascii="宋体" w:hAnsi="宋体" w:cs="宋体"/>
          <w:b/>
          <w:color w:val="auto"/>
          <w:szCs w:val="21"/>
          <w:highlight w:val="none"/>
        </w:rPr>
        <w:t>、查验证件</w:t>
      </w:r>
    </w:p>
    <w:p w14:paraId="1AD6E4FC">
      <w:pPr>
        <w:spacing w:line="360" w:lineRule="auto"/>
        <w:ind w:firstLine="422" w:firstLineChars="200"/>
        <w:rPr>
          <w:rFonts w:ascii="宋体" w:cs="宋体"/>
          <w:b/>
          <w:color w:val="auto"/>
          <w:szCs w:val="21"/>
          <w:highlight w:val="none"/>
        </w:rPr>
      </w:pPr>
      <w:r>
        <w:rPr>
          <w:rFonts w:ascii="宋体" w:hAnsi="宋体" w:cs="宋体"/>
          <w:b/>
          <w:color w:val="auto"/>
          <w:szCs w:val="21"/>
          <w:highlight w:val="none"/>
        </w:rPr>
        <w:t>21.2.1</w:t>
      </w:r>
      <w:r>
        <w:rPr>
          <w:rFonts w:hint="eastAsia" w:ascii="宋体" w:hAnsi="宋体" w:cs="宋体"/>
          <w:b/>
          <w:color w:val="auto"/>
          <w:szCs w:val="21"/>
          <w:highlight w:val="none"/>
        </w:rPr>
        <w:t>、采购单位审查供应商以下证件的原件，若证件不全或不符合要求，则查验不合格,由磋商小组认定其响应无效。</w:t>
      </w:r>
    </w:p>
    <w:p w14:paraId="7CB6DFF2">
      <w:pPr>
        <w:spacing w:line="360" w:lineRule="auto"/>
        <w:ind w:firstLine="420" w:firstLineChars="200"/>
        <w:rPr>
          <w:rFonts w:ascii="宋体" w:cs="宋体"/>
          <w:b/>
          <w:color w:val="auto"/>
          <w:szCs w:val="21"/>
          <w:highlight w:val="none"/>
        </w:rPr>
      </w:pPr>
      <w:r>
        <w:rPr>
          <w:rFonts w:hint="eastAsia" w:ascii="宋体" w:hAnsi="宋体"/>
          <w:bCs/>
          <w:color w:val="auto"/>
          <w:szCs w:val="21"/>
          <w:highlight w:val="none"/>
        </w:rPr>
        <w:t>法定代表人应手持法定代表人身份证明书和有效二代居民身份证或委托代理人应手持法定代表人签署的授权委托书和有效二代居民身份证</w:t>
      </w:r>
      <w:r>
        <w:rPr>
          <w:rFonts w:hint="eastAsia" w:ascii="宋体" w:hAnsi="宋体" w:cs="宋体"/>
          <w:b/>
          <w:color w:val="auto"/>
          <w:szCs w:val="21"/>
          <w:highlight w:val="none"/>
        </w:rPr>
        <w:t>（</w:t>
      </w:r>
      <w:r>
        <w:rPr>
          <w:rFonts w:hint="eastAsia" w:ascii="宋体" w:hAnsi="宋体"/>
          <w:bCs/>
          <w:color w:val="auto"/>
          <w:szCs w:val="21"/>
          <w:highlight w:val="none"/>
        </w:rPr>
        <w:t>法定代表人身份证明书、授权委托书</w:t>
      </w:r>
      <w:r>
        <w:rPr>
          <w:rFonts w:hint="eastAsia" w:ascii="宋体" w:hAnsi="宋体" w:cs="宋体"/>
          <w:b/>
          <w:color w:val="auto"/>
          <w:szCs w:val="21"/>
          <w:highlight w:val="none"/>
        </w:rPr>
        <w:t>格式见附件）。</w:t>
      </w:r>
    </w:p>
    <w:p w14:paraId="43786320">
      <w:pPr>
        <w:spacing w:line="360" w:lineRule="auto"/>
        <w:ind w:firstLine="422" w:firstLineChars="200"/>
        <w:rPr>
          <w:rFonts w:ascii="宋体" w:cs="宋体"/>
          <w:b/>
          <w:bCs/>
          <w:color w:val="auto"/>
          <w:szCs w:val="21"/>
          <w:highlight w:val="none"/>
        </w:rPr>
      </w:pPr>
      <w:r>
        <w:rPr>
          <w:rFonts w:ascii="宋体" w:hAnsi="宋体" w:cs="宋体"/>
          <w:b/>
          <w:color w:val="auto"/>
          <w:szCs w:val="21"/>
          <w:highlight w:val="none"/>
        </w:rPr>
        <w:t>21.2.2</w:t>
      </w:r>
      <w:r>
        <w:rPr>
          <w:rFonts w:hint="eastAsia" w:ascii="宋体" w:hAnsi="宋体" w:cs="宋体"/>
          <w:b/>
          <w:color w:val="auto"/>
          <w:szCs w:val="21"/>
          <w:highlight w:val="none"/>
        </w:rPr>
        <w:t>、采购单位审查供应商的磋商保证金缴纳情况，以实际到账时间为准（磋商保证金实际到账时间在</w:t>
      </w:r>
      <w:r>
        <w:rPr>
          <w:rFonts w:hint="eastAsia" w:ascii="宋体" w:hAnsi="宋体"/>
          <w:b/>
          <w:color w:val="auto"/>
          <w:szCs w:val="21"/>
          <w:highlight w:val="none"/>
        </w:rPr>
        <w:t>磋商文件约定时间</w:t>
      </w:r>
      <w:r>
        <w:rPr>
          <w:rFonts w:hint="eastAsia" w:ascii="宋体" w:hAnsi="宋体" w:cs="宋体"/>
          <w:b/>
          <w:color w:val="auto"/>
          <w:szCs w:val="21"/>
          <w:highlight w:val="none"/>
        </w:rPr>
        <w:t>之后的，响应无效）。</w:t>
      </w:r>
    </w:p>
    <w:p w14:paraId="2632115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21.3</w:t>
      </w:r>
      <w:r>
        <w:rPr>
          <w:rFonts w:hint="eastAsia" w:ascii="宋体" w:hAnsi="宋体" w:cs="宋体"/>
          <w:color w:val="auto"/>
          <w:szCs w:val="21"/>
          <w:highlight w:val="none"/>
        </w:rPr>
        <w:t>、供应商必须对其响应文件中所有资料的真实性负责。若发现供应商有弄虚作假行为的，响应无效并不予退还其磋商保证金，由相关管理部门按照磋商文件相应条款对其做相应处罚。</w:t>
      </w:r>
    </w:p>
    <w:p w14:paraId="1737A720">
      <w:pPr>
        <w:widowControl/>
        <w:spacing w:line="5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21.4供应商应当在提交响应文件截止时间前完成响应文件的传输提交，未在提交响应文件截止时间前通过</w:t>
      </w:r>
      <w:r>
        <w:rPr>
          <w:rFonts w:hint="eastAsia" w:ascii="宋体" w:hAnsi="宋体" w:cs="宋体"/>
          <w:color w:val="auto"/>
          <w:szCs w:val="21"/>
          <w:highlight w:val="none"/>
          <w:lang w:eastAsia="zh-CN"/>
        </w:rPr>
        <w:t>安徽泰杰工程咨询有限公司网站和潜山市中医院网站</w:t>
      </w:r>
      <w:r>
        <w:rPr>
          <w:rFonts w:hint="eastAsia" w:ascii="宋体" w:hAnsi="宋体" w:cs="宋体"/>
          <w:color w:val="auto"/>
          <w:szCs w:val="21"/>
          <w:highlight w:val="none"/>
        </w:rPr>
        <w:t>提交有效电子响应文件的，系统不予接收，视为未提交响应文件。</w:t>
      </w:r>
    </w:p>
    <w:p w14:paraId="2A72C971">
      <w:pPr>
        <w:pStyle w:val="30"/>
        <w:spacing w:line="360" w:lineRule="auto"/>
        <w:ind w:firstLine="420" w:firstLineChars="200"/>
        <w:rPr>
          <w:rFonts w:hAnsi="宋体" w:cs="宋体"/>
          <w:color w:val="auto"/>
          <w:highlight w:val="none"/>
        </w:rPr>
      </w:pPr>
      <w:r>
        <w:rPr>
          <w:rFonts w:hint="eastAsia" w:hAnsi="宋体" w:cs="宋体"/>
          <w:color w:val="auto"/>
          <w:highlight w:val="none"/>
        </w:rPr>
        <w:t>21.5各供应商在解密开始时间后，分别在5分钟内完成响应文件的解密工作，未能成功解密的供应商，如磋商文件中允许使用电子光盘作为备份，并且供应商在提交响应文件截止时间之前到达开标现场并提交电子光盘，则可导入电子光盘继续开标。</w:t>
      </w:r>
    </w:p>
    <w:p w14:paraId="7DAC4BCE">
      <w:pPr>
        <w:pStyle w:val="30"/>
        <w:spacing w:line="360" w:lineRule="auto"/>
        <w:ind w:firstLine="420" w:firstLineChars="200"/>
        <w:rPr>
          <w:rFonts w:cs="宋体"/>
          <w:color w:val="auto"/>
          <w:highlight w:val="none"/>
        </w:rPr>
      </w:pPr>
      <w:r>
        <w:rPr>
          <w:rFonts w:hint="eastAsia" w:hAnsi="宋体" w:cs="宋体"/>
          <w:color w:val="auto"/>
          <w:highlight w:val="none"/>
        </w:rPr>
        <w:t>若系统识别出电子光盘中未加密的响应文件和网上提交的加密响应文件识别码不一致，系统将拒绝导入，该磋商响应无效。</w:t>
      </w:r>
    </w:p>
    <w:p w14:paraId="68BB851B">
      <w:pPr>
        <w:spacing w:line="360" w:lineRule="auto"/>
        <w:ind w:left="420" w:leftChars="200"/>
        <w:outlineLvl w:val="3"/>
        <w:rPr>
          <w:rFonts w:ascii="宋体" w:cs="宋体"/>
          <w:b/>
          <w:color w:val="auto"/>
          <w:szCs w:val="21"/>
          <w:highlight w:val="none"/>
        </w:rPr>
      </w:pPr>
      <w:r>
        <w:rPr>
          <w:rFonts w:ascii="宋体" w:hAnsi="宋体" w:cs="宋体"/>
          <w:b/>
          <w:color w:val="auto"/>
          <w:szCs w:val="21"/>
          <w:highlight w:val="none"/>
        </w:rPr>
        <w:t>22</w:t>
      </w:r>
      <w:r>
        <w:rPr>
          <w:rFonts w:hint="eastAsia" w:ascii="宋体" w:hAnsi="宋体" w:cs="宋体"/>
          <w:b/>
          <w:color w:val="auto"/>
          <w:szCs w:val="21"/>
          <w:highlight w:val="none"/>
        </w:rPr>
        <w:t>、响应文件的有效性</w:t>
      </w:r>
    </w:p>
    <w:p w14:paraId="5A9BD3EF">
      <w:pPr>
        <w:spacing w:line="360" w:lineRule="auto"/>
        <w:ind w:firstLine="420" w:firstLineChars="200"/>
        <w:outlineLvl w:val="4"/>
        <w:rPr>
          <w:rFonts w:ascii="宋体" w:cs="宋体"/>
          <w:color w:val="auto"/>
          <w:szCs w:val="21"/>
          <w:highlight w:val="none"/>
        </w:rPr>
      </w:pPr>
      <w:r>
        <w:rPr>
          <w:rFonts w:ascii="宋体" w:hAnsi="宋体" w:cs="宋体"/>
          <w:color w:val="auto"/>
          <w:szCs w:val="21"/>
          <w:highlight w:val="none"/>
        </w:rPr>
        <w:t>22.1</w:t>
      </w:r>
      <w:r>
        <w:rPr>
          <w:rFonts w:hint="eastAsia" w:ascii="宋体" w:hAnsi="宋体" w:cs="宋体"/>
          <w:color w:val="auto"/>
          <w:szCs w:val="21"/>
          <w:highlight w:val="none"/>
        </w:rPr>
        <w:t>、响应文件有下列情形之一的，将不予受理：</w:t>
      </w:r>
      <w:r>
        <w:rPr>
          <w:rFonts w:ascii="宋体" w:hAnsi="宋体" w:cs="宋体"/>
          <w:color w:val="auto"/>
          <w:szCs w:val="21"/>
          <w:highlight w:val="none"/>
        </w:rPr>
        <w:t xml:space="preserve"> </w:t>
      </w:r>
    </w:p>
    <w:p w14:paraId="37D15CDA">
      <w:pPr>
        <w:spacing w:line="42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）逾期上传、送达的或者未送达至指定地点的；</w:t>
      </w:r>
      <w:r>
        <w:rPr>
          <w:rFonts w:ascii="宋体" w:hAnsi="宋体" w:cs="宋体"/>
          <w:color w:val="auto"/>
          <w:szCs w:val="21"/>
          <w:highlight w:val="none"/>
        </w:rPr>
        <w:t xml:space="preserve"> </w:t>
      </w:r>
    </w:p>
    <w:p w14:paraId="7E928B4A">
      <w:pPr>
        <w:spacing w:line="42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）未按磋商文件要求包装、密封的。</w:t>
      </w:r>
    </w:p>
    <w:p w14:paraId="016F0022">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22.2</w:t>
      </w:r>
      <w:r>
        <w:rPr>
          <w:rFonts w:hint="eastAsia" w:ascii="宋体" w:hAnsi="宋体" w:cs="宋体"/>
          <w:color w:val="auto"/>
          <w:szCs w:val="21"/>
          <w:highlight w:val="none"/>
        </w:rPr>
        <w:t>、磋商过程中发现有下列情况的，由磋商小组评审后，认定为磋商响应无效：</w:t>
      </w:r>
    </w:p>
    <w:p w14:paraId="61590D36">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22.2.1</w:t>
      </w:r>
      <w:r>
        <w:rPr>
          <w:rFonts w:hint="eastAsia" w:ascii="宋体" w:hAnsi="宋体" w:cs="宋体"/>
          <w:color w:val="auto"/>
          <w:szCs w:val="21"/>
          <w:highlight w:val="none"/>
        </w:rPr>
        <w:t>、供应商未按要求参加开标会、未按要求出示原件供现场查验或经查验不合格的、解密失败允许使用电子光盘导入但电子光盘中磋商响应文件未成功导入开评标系统的；</w:t>
      </w:r>
    </w:p>
    <w:p w14:paraId="08EF88E9">
      <w:pPr>
        <w:spacing w:line="420" w:lineRule="exact"/>
        <w:ind w:firstLine="420" w:firstLineChars="200"/>
        <w:rPr>
          <w:rFonts w:ascii="宋体" w:hAnsi="宋体" w:cs="宋体"/>
          <w:color w:val="auto"/>
          <w:szCs w:val="21"/>
          <w:highlight w:val="none"/>
        </w:rPr>
      </w:pPr>
      <w:r>
        <w:rPr>
          <w:rFonts w:ascii="宋体" w:hAnsi="宋体" w:cs="宋体"/>
          <w:color w:val="auto"/>
          <w:szCs w:val="21"/>
          <w:highlight w:val="none"/>
        </w:rPr>
        <w:t>22.2.2</w:t>
      </w:r>
      <w:r>
        <w:rPr>
          <w:rFonts w:hint="eastAsia" w:ascii="宋体" w:hAnsi="宋体" w:cs="宋体"/>
          <w:color w:val="auto"/>
          <w:szCs w:val="21"/>
          <w:highlight w:val="none"/>
        </w:rPr>
        <w:t>、</w:t>
      </w:r>
      <w:r>
        <w:rPr>
          <w:rFonts w:hint="eastAsia" w:ascii="宋体" w:hAnsi="宋体" w:cs="宋体"/>
          <w:color w:val="auto"/>
          <w:highlight w:val="none"/>
        </w:rPr>
        <w:t>磋商响应文件封面、磋商响应函、服务报价表、服务内容及质量响应表</w:t>
      </w:r>
      <w:r>
        <w:rPr>
          <w:rFonts w:hint="eastAsia" w:ascii="宋体" w:hAnsi="宋体" w:cs="宋体"/>
          <w:color w:val="auto"/>
          <w:szCs w:val="21"/>
          <w:highlight w:val="none"/>
        </w:rPr>
        <w:t>不符合磋商文件要求的；</w:t>
      </w:r>
    </w:p>
    <w:p w14:paraId="09008BBD">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22.2.3</w:t>
      </w:r>
      <w:r>
        <w:rPr>
          <w:rFonts w:hint="eastAsia" w:ascii="宋体" w:hAnsi="宋体" w:cs="宋体"/>
          <w:color w:val="auto"/>
          <w:szCs w:val="21"/>
          <w:highlight w:val="none"/>
        </w:rPr>
        <w:t>、供应商未按磋商文件要求提交磋商保证金的；</w:t>
      </w:r>
    </w:p>
    <w:p w14:paraId="1EB3FF39">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22.2.4</w:t>
      </w:r>
      <w:r>
        <w:rPr>
          <w:rFonts w:hint="eastAsia" w:ascii="宋体" w:hAnsi="宋体" w:cs="宋体"/>
          <w:color w:val="auto"/>
          <w:szCs w:val="21"/>
          <w:highlight w:val="none"/>
        </w:rPr>
        <w:t>、磋商报价高于最高磋商限价的；</w:t>
      </w:r>
    </w:p>
    <w:p w14:paraId="658E4DEC">
      <w:pPr>
        <w:spacing w:line="420" w:lineRule="exact"/>
        <w:ind w:firstLine="420" w:firstLineChars="200"/>
        <w:rPr>
          <w:rFonts w:ascii="宋体" w:cs="宋体"/>
          <w:color w:val="auto"/>
          <w:szCs w:val="21"/>
          <w:highlight w:val="none"/>
        </w:rPr>
      </w:pPr>
      <w:r>
        <w:rPr>
          <w:rFonts w:ascii="宋体" w:hAnsi="宋体" w:cs="宋体"/>
          <w:color w:val="auto"/>
          <w:szCs w:val="21"/>
          <w:highlight w:val="none"/>
        </w:rPr>
        <w:t>22.2.5</w:t>
      </w:r>
      <w:r>
        <w:rPr>
          <w:rFonts w:hint="eastAsia" w:ascii="宋体" w:hAnsi="宋体" w:cs="宋体"/>
          <w:color w:val="auto"/>
          <w:szCs w:val="21"/>
          <w:highlight w:val="none"/>
        </w:rPr>
        <w:t>、法律、法规及竞争性磋商文件约定的其它情形。</w:t>
      </w:r>
    </w:p>
    <w:p w14:paraId="020993C9">
      <w:pPr>
        <w:widowControl/>
        <w:spacing w:line="500" w:lineRule="exact"/>
        <w:ind w:firstLine="420" w:firstLineChars="200"/>
        <w:jc w:val="left"/>
        <w:rPr>
          <w:rFonts w:ascii="宋体" w:hAnsi="宋体"/>
          <w:color w:val="auto"/>
          <w:szCs w:val="21"/>
          <w:highlight w:val="none"/>
        </w:rPr>
      </w:pPr>
      <w:r>
        <w:rPr>
          <w:rFonts w:ascii="宋体" w:hAnsi="宋体" w:cs="宋体"/>
          <w:color w:val="auto"/>
          <w:szCs w:val="21"/>
          <w:highlight w:val="none"/>
        </w:rPr>
        <w:t>22.3</w:t>
      </w:r>
      <w:r>
        <w:rPr>
          <w:rFonts w:hint="eastAsia" w:ascii="宋体" w:hAnsi="宋体" w:cs="宋体"/>
          <w:color w:val="auto"/>
          <w:szCs w:val="21"/>
          <w:highlight w:val="none"/>
        </w:rPr>
        <w:t>、</w:t>
      </w:r>
      <w:r>
        <w:rPr>
          <w:rFonts w:hint="eastAsia" w:ascii="宋体" w:hAnsi="宋体"/>
          <w:color w:val="auto"/>
          <w:szCs w:val="21"/>
          <w:highlight w:val="none"/>
        </w:rPr>
        <w:t>供应商存在下列情形之一，经磋商小组评审后，认定为响应无效：</w:t>
      </w:r>
    </w:p>
    <w:p w14:paraId="460CECD1">
      <w:pPr>
        <w:widowControl/>
        <w:spacing w:line="500" w:lineRule="exact"/>
        <w:jc w:val="left"/>
        <w:rPr>
          <w:rFonts w:ascii="宋体" w:hAnsi="宋体"/>
          <w:color w:val="auto"/>
          <w:szCs w:val="21"/>
          <w:highlight w:val="none"/>
        </w:rPr>
      </w:pPr>
      <w:r>
        <w:rPr>
          <w:rFonts w:hint="eastAsia" w:ascii="宋体" w:hAnsi="宋体"/>
          <w:color w:val="auto"/>
          <w:szCs w:val="21"/>
          <w:highlight w:val="none"/>
        </w:rPr>
        <w:t xml:space="preserve">    (1)</w:t>
      </w:r>
      <w:r>
        <w:rPr>
          <w:rFonts w:hAnsi="宋体"/>
          <w:color w:val="auto"/>
          <w:szCs w:val="21"/>
          <w:highlight w:val="none"/>
        </w:rPr>
        <w:t>被责令停业</w:t>
      </w:r>
      <w:r>
        <w:rPr>
          <w:rFonts w:hint="eastAsia" w:hAnsi="宋体"/>
          <w:color w:val="auto"/>
          <w:szCs w:val="21"/>
          <w:highlight w:val="none"/>
        </w:rPr>
        <w:t>且处于有效期内</w:t>
      </w:r>
      <w:r>
        <w:rPr>
          <w:rFonts w:hAnsi="宋体"/>
          <w:color w:val="auto"/>
          <w:szCs w:val="21"/>
          <w:highlight w:val="none"/>
        </w:rPr>
        <w:t>的</w:t>
      </w:r>
      <w:r>
        <w:rPr>
          <w:rFonts w:hint="eastAsia" w:ascii="宋体" w:hAnsi="宋体"/>
          <w:color w:val="auto"/>
          <w:szCs w:val="21"/>
          <w:highlight w:val="none"/>
        </w:rPr>
        <w:t>；</w:t>
      </w:r>
    </w:p>
    <w:p w14:paraId="19700375">
      <w:pPr>
        <w:widowControl/>
        <w:spacing w:line="500" w:lineRule="exact"/>
        <w:jc w:val="left"/>
        <w:rPr>
          <w:rFonts w:ascii="宋体" w:hAnsi="宋体"/>
          <w:color w:val="auto"/>
          <w:szCs w:val="21"/>
          <w:highlight w:val="none"/>
        </w:rPr>
      </w:pPr>
      <w:r>
        <w:rPr>
          <w:rFonts w:hint="eastAsia" w:ascii="宋体" w:hAnsi="宋体"/>
          <w:color w:val="auto"/>
          <w:szCs w:val="21"/>
          <w:highlight w:val="none"/>
        </w:rPr>
        <w:t xml:space="preserve">    (2)被安庆市行政区域内公共资源交易监管部门限制投标资格且处于有效期内；</w:t>
      </w:r>
    </w:p>
    <w:p w14:paraId="3D02B689">
      <w:pPr>
        <w:widowControl/>
        <w:spacing w:line="500" w:lineRule="exact"/>
        <w:jc w:val="left"/>
        <w:rPr>
          <w:rFonts w:ascii="宋体" w:hAnsi="宋体"/>
          <w:color w:val="auto"/>
          <w:szCs w:val="21"/>
          <w:highlight w:val="none"/>
        </w:rPr>
      </w:pPr>
      <w:r>
        <w:rPr>
          <w:rFonts w:hint="eastAsia" w:ascii="宋体" w:hAnsi="宋体"/>
          <w:color w:val="auto"/>
          <w:szCs w:val="21"/>
          <w:highlight w:val="none"/>
        </w:rPr>
        <w:t xml:space="preserve">    (3)财产被接管或冻结可能影响本项目正常实施的；</w:t>
      </w:r>
    </w:p>
    <w:p w14:paraId="045D73E2">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(4)法律、法规规定及磋商文件约定的其他情形</w:t>
      </w:r>
      <w:r>
        <w:rPr>
          <w:rFonts w:hint="eastAsia" w:ascii="宋体" w:hAnsi="宋体" w:cs="宋体"/>
          <w:color w:val="auto"/>
          <w:szCs w:val="21"/>
          <w:highlight w:val="none"/>
        </w:rPr>
        <w:t>。</w:t>
      </w:r>
    </w:p>
    <w:p w14:paraId="6BADFAA4">
      <w:pPr>
        <w:widowControl/>
        <w:spacing w:line="500" w:lineRule="exact"/>
        <w:ind w:firstLine="420"/>
        <w:jc w:val="left"/>
        <w:rPr>
          <w:rFonts w:hint="eastAsia" w:ascii="宋体" w:cs="宋体"/>
          <w:color w:val="auto"/>
          <w:szCs w:val="21"/>
          <w:highlight w:val="none"/>
        </w:rPr>
      </w:pPr>
      <w:r>
        <w:rPr>
          <w:rFonts w:ascii="宋体" w:hAnsi="宋体"/>
          <w:color w:val="auto"/>
          <w:szCs w:val="21"/>
          <w:highlight w:val="none"/>
        </w:rPr>
        <w:t>22.4 各级人民政府财政部门依法对参加政府采购活动的供应商作出的禁止参加政府采购活动等行政处罚决定在全国范围内生效。</w:t>
      </w:r>
      <w:r>
        <w:rPr>
          <w:rFonts w:hint="eastAsia" w:ascii="宋体" w:hAnsi="宋体"/>
          <w:color w:val="auto"/>
          <w:szCs w:val="21"/>
          <w:highlight w:val="none"/>
        </w:rPr>
        <w:t>供应商受到</w:t>
      </w:r>
      <w:r>
        <w:rPr>
          <w:rFonts w:ascii="宋体" w:hAnsi="宋体"/>
          <w:color w:val="auto"/>
          <w:szCs w:val="21"/>
          <w:highlight w:val="none"/>
        </w:rPr>
        <w:t>财政部门依法</w:t>
      </w:r>
      <w:r>
        <w:rPr>
          <w:rFonts w:hint="eastAsia" w:ascii="宋体" w:hAnsi="宋体"/>
          <w:color w:val="auto"/>
          <w:szCs w:val="21"/>
          <w:highlight w:val="none"/>
        </w:rPr>
        <w:t>作出的</w:t>
      </w:r>
      <w:r>
        <w:rPr>
          <w:rFonts w:ascii="宋体" w:hAnsi="宋体"/>
          <w:color w:val="auto"/>
          <w:szCs w:val="21"/>
          <w:highlight w:val="none"/>
        </w:rPr>
        <w:t>禁止参加政府采购活动</w:t>
      </w:r>
      <w:r>
        <w:rPr>
          <w:rFonts w:hint="eastAsia" w:ascii="宋体" w:hAnsi="宋体"/>
          <w:color w:val="auto"/>
          <w:szCs w:val="21"/>
          <w:highlight w:val="none"/>
        </w:rPr>
        <w:t>且在有效期内的</w:t>
      </w:r>
      <w:r>
        <w:rPr>
          <w:rFonts w:ascii="宋体" w:hAnsi="宋体"/>
          <w:color w:val="auto"/>
          <w:szCs w:val="21"/>
          <w:highlight w:val="none"/>
        </w:rPr>
        <w:t>行政处罚</w:t>
      </w:r>
      <w:r>
        <w:rPr>
          <w:rFonts w:hint="eastAsia" w:ascii="宋体" w:hAnsi="宋体"/>
          <w:color w:val="auto"/>
          <w:szCs w:val="21"/>
          <w:highlight w:val="none"/>
        </w:rPr>
        <w:t>，其响应无效。</w:t>
      </w:r>
    </w:p>
    <w:p w14:paraId="6DC16265">
      <w:pPr>
        <w:pStyle w:val="8"/>
        <w:ind w:firstLine="413" w:firstLineChars="196"/>
        <w:rPr>
          <w:rFonts w:cs="宋体"/>
          <w:color w:val="auto"/>
          <w:highlight w:val="none"/>
        </w:rPr>
      </w:pPr>
      <w:bookmarkStart w:id="186" w:name="_Toc32486"/>
      <w:bookmarkStart w:id="187" w:name="_Toc22827"/>
      <w:bookmarkStart w:id="188" w:name="_Toc476584426"/>
      <w:bookmarkStart w:id="189" w:name="_Toc26347"/>
      <w:bookmarkStart w:id="190" w:name="_Toc31714"/>
      <w:bookmarkStart w:id="191" w:name="_Toc10384"/>
      <w:r>
        <w:rPr>
          <w:rFonts w:hint="eastAsia" w:cs="宋体"/>
          <w:color w:val="auto"/>
          <w:highlight w:val="none"/>
        </w:rPr>
        <w:t>六、评标</w:t>
      </w:r>
      <w:bookmarkEnd w:id="186"/>
      <w:bookmarkEnd w:id="187"/>
      <w:bookmarkEnd w:id="188"/>
      <w:bookmarkEnd w:id="189"/>
      <w:bookmarkEnd w:id="190"/>
      <w:bookmarkEnd w:id="191"/>
    </w:p>
    <w:p w14:paraId="288FA00E">
      <w:pPr>
        <w:spacing w:line="360" w:lineRule="auto"/>
        <w:ind w:firstLine="422" w:firstLineChars="200"/>
        <w:rPr>
          <w:rFonts w:ascii="宋体" w:cs="宋体"/>
          <w:color w:val="auto"/>
          <w:szCs w:val="21"/>
          <w:highlight w:val="none"/>
        </w:rPr>
      </w:pPr>
      <w:r>
        <w:rPr>
          <w:rFonts w:ascii="宋体" w:hAnsi="宋体" w:cs="宋体"/>
          <w:b/>
          <w:color w:val="auto"/>
          <w:szCs w:val="21"/>
          <w:highlight w:val="none"/>
        </w:rPr>
        <w:t>23</w:t>
      </w:r>
      <w:r>
        <w:rPr>
          <w:rFonts w:hint="eastAsia" w:ascii="宋体" w:hAnsi="宋体" w:cs="宋体"/>
          <w:b/>
          <w:color w:val="auto"/>
          <w:szCs w:val="21"/>
          <w:highlight w:val="none"/>
        </w:rPr>
        <w:t>、磋商小组</w:t>
      </w:r>
      <w:r>
        <w:rPr>
          <w:rFonts w:hint="eastAsia" w:ascii="宋体" w:hAnsi="宋体" w:cs="宋体"/>
          <w:color w:val="auto"/>
          <w:szCs w:val="21"/>
          <w:highlight w:val="none"/>
        </w:rPr>
        <w:t>：磋商</w:t>
      </w:r>
      <w:r>
        <w:rPr>
          <w:rFonts w:hint="eastAsia" w:ascii="宋体" w:hAnsi="宋体"/>
          <w:color w:val="auto"/>
          <w:szCs w:val="21"/>
          <w:highlight w:val="none"/>
        </w:rPr>
        <w:t>小组依法组建，其中采购人代表</w:t>
      </w:r>
      <w:r>
        <w:rPr>
          <w:rFonts w:ascii="宋体" w:hAnsi="宋体"/>
          <w:color w:val="auto"/>
          <w:szCs w:val="21"/>
          <w:highlight w:val="none"/>
          <w:u w:val="single"/>
        </w:rPr>
        <w:t>1</w:t>
      </w:r>
      <w:r>
        <w:rPr>
          <w:rFonts w:hint="eastAsia" w:ascii="宋体" w:hAnsi="宋体"/>
          <w:color w:val="auto"/>
          <w:szCs w:val="21"/>
          <w:highlight w:val="none"/>
        </w:rPr>
        <w:t>人。</w:t>
      </w:r>
      <w:r>
        <w:rPr>
          <w:rFonts w:hint="eastAsia" w:ascii="宋体" w:hAnsi="宋体" w:cs="宋体"/>
          <w:color w:val="auto"/>
          <w:szCs w:val="21"/>
          <w:highlight w:val="none"/>
        </w:rPr>
        <w:t>采购人代表不得担任磋商小组组长。磋商由磋商小组进行，评委应坚持公正、公平、诚实守信、实事求是、独立评标的原则。</w:t>
      </w:r>
    </w:p>
    <w:p w14:paraId="1F6B2151">
      <w:pPr>
        <w:spacing w:line="360" w:lineRule="auto"/>
        <w:ind w:firstLine="422" w:firstLineChars="200"/>
        <w:outlineLvl w:val="3"/>
        <w:rPr>
          <w:rFonts w:ascii="宋体" w:cs="宋体"/>
          <w:color w:val="auto"/>
          <w:szCs w:val="21"/>
          <w:highlight w:val="none"/>
        </w:rPr>
      </w:pPr>
      <w:r>
        <w:rPr>
          <w:rFonts w:ascii="宋体" w:hAnsi="宋体" w:cs="宋体"/>
          <w:b/>
          <w:color w:val="auto"/>
          <w:szCs w:val="21"/>
          <w:highlight w:val="none"/>
        </w:rPr>
        <w:t>24</w:t>
      </w:r>
      <w:r>
        <w:rPr>
          <w:rFonts w:hint="eastAsia" w:ascii="宋体" w:hAnsi="宋体" w:cs="宋体"/>
          <w:b/>
          <w:color w:val="auto"/>
          <w:szCs w:val="21"/>
          <w:highlight w:val="none"/>
        </w:rPr>
        <w:t>、评标方法：</w:t>
      </w:r>
      <w:r>
        <w:rPr>
          <w:rFonts w:hint="eastAsia" w:ascii="宋体" w:hAnsi="宋体" w:cs="宋体"/>
          <w:color w:val="auto"/>
          <w:szCs w:val="21"/>
          <w:highlight w:val="none"/>
        </w:rPr>
        <w:t>采用综合评分方法。</w:t>
      </w:r>
    </w:p>
    <w:p w14:paraId="77194118">
      <w:pPr>
        <w:spacing w:line="360" w:lineRule="auto"/>
        <w:ind w:firstLine="440"/>
        <w:jc w:val="left"/>
        <w:rPr>
          <w:rFonts w:ascii="宋体" w:cs="宋体"/>
          <w:b/>
          <w:color w:val="auto"/>
          <w:szCs w:val="21"/>
          <w:highlight w:val="none"/>
        </w:rPr>
      </w:pPr>
      <w:r>
        <w:rPr>
          <w:rFonts w:ascii="宋体" w:hAnsi="宋体" w:cs="宋体"/>
          <w:b/>
          <w:color w:val="auto"/>
          <w:szCs w:val="21"/>
          <w:highlight w:val="none"/>
        </w:rPr>
        <w:t>25</w:t>
      </w:r>
      <w:r>
        <w:rPr>
          <w:rFonts w:hint="eastAsia" w:ascii="宋体" w:hAnsi="宋体" w:cs="宋体"/>
          <w:b/>
          <w:color w:val="auto"/>
          <w:szCs w:val="21"/>
          <w:highlight w:val="none"/>
        </w:rPr>
        <w:t>、评标程序：</w:t>
      </w:r>
      <w:r>
        <w:rPr>
          <w:rFonts w:hint="eastAsia" w:ascii="宋体" w:hAnsi="宋体" w:cs="宋体"/>
          <w:color w:val="auto"/>
          <w:szCs w:val="21"/>
          <w:highlight w:val="none"/>
        </w:rPr>
        <w:t>评标包括响应文件符合性审查、磋商、最后报价、综合评分和确定成交候选人排序。</w:t>
      </w:r>
    </w:p>
    <w:p w14:paraId="559FC83F">
      <w:pPr>
        <w:spacing w:line="360" w:lineRule="auto"/>
        <w:outlineLvl w:val="4"/>
        <w:rPr>
          <w:rFonts w:ascii="宋体" w:cs="宋体"/>
          <w:color w:val="auto"/>
          <w:szCs w:val="21"/>
          <w:highlight w:val="none"/>
        </w:rPr>
      </w:pPr>
      <w:r>
        <w:rPr>
          <w:rFonts w:ascii="宋体" w:hAnsi="宋体" w:cs="宋体"/>
          <w:color w:val="auto"/>
          <w:szCs w:val="21"/>
          <w:highlight w:val="none"/>
        </w:rPr>
        <w:t xml:space="preserve">    </w:t>
      </w:r>
      <w:r>
        <w:rPr>
          <w:rFonts w:ascii="宋体" w:hAnsi="宋体" w:cs="宋体"/>
          <w:b/>
          <w:bCs/>
          <w:color w:val="auto"/>
          <w:szCs w:val="21"/>
          <w:highlight w:val="none"/>
        </w:rPr>
        <w:t>25.1</w:t>
      </w:r>
      <w:r>
        <w:rPr>
          <w:rFonts w:hint="eastAsia" w:ascii="宋体" w:hAnsi="宋体" w:cs="宋体"/>
          <w:b/>
          <w:bCs/>
          <w:color w:val="auto"/>
          <w:szCs w:val="21"/>
          <w:highlight w:val="none"/>
        </w:rPr>
        <w:t>、响应文件</w:t>
      </w:r>
      <w:r>
        <w:rPr>
          <w:rFonts w:hint="eastAsia" w:ascii="宋体" w:hAnsi="宋体" w:cs="宋体"/>
          <w:b/>
          <w:bCs/>
          <w:color w:val="auto"/>
          <w:highlight w:val="none"/>
        </w:rPr>
        <w:t>符合性审查</w:t>
      </w:r>
      <w:r>
        <w:rPr>
          <w:rFonts w:hint="eastAsia" w:ascii="宋体" w:hAnsi="宋体" w:cs="宋体"/>
          <w:b/>
          <w:bCs/>
          <w:color w:val="auto"/>
          <w:szCs w:val="21"/>
          <w:highlight w:val="none"/>
        </w:rPr>
        <w:t>，包括但不限于以下内容：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282"/>
        <w:gridCol w:w="1440"/>
      </w:tblGrid>
      <w:tr w14:paraId="383B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A31F792">
            <w:pPr>
              <w:spacing w:line="360" w:lineRule="auto"/>
              <w:rPr>
                <w:rFonts w:ascii="宋体"/>
                <w:color w:val="auto"/>
                <w:szCs w:val="21"/>
                <w:highlight w:val="none"/>
              </w:rPr>
            </w:pPr>
            <w:r>
              <w:rPr>
                <w:rFonts w:hint="eastAsia" w:ascii="宋体" w:hAnsi="宋体"/>
                <w:color w:val="auto"/>
                <w:szCs w:val="21"/>
                <w:highlight w:val="none"/>
              </w:rPr>
              <w:t>序号</w:t>
            </w:r>
          </w:p>
        </w:tc>
        <w:tc>
          <w:tcPr>
            <w:tcW w:w="6282" w:type="dxa"/>
          </w:tcPr>
          <w:p w14:paraId="7088E2CF">
            <w:pPr>
              <w:spacing w:line="360" w:lineRule="auto"/>
              <w:rPr>
                <w:rFonts w:ascii="宋体"/>
                <w:color w:val="auto"/>
                <w:szCs w:val="21"/>
                <w:highlight w:val="none"/>
              </w:rPr>
            </w:pPr>
            <w:r>
              <w:rPr>
                <w:rFonts w:hint="eastAsia" w:ascii="宋体" w:hAnsi="宋体"/>
                <w:color w:val="auto"/>
                <w:szCs w:val="21"/>
                <w:highlight w:val="none"/>
              </w:rPr>
              <w:t>审查内容</w:t>
            </w:r>
          </w:p>
        </w:tc>
        <w:tc>
          <w:tcPr>
            <w:tcW w:w="1440" w:type="dxa"/>
          </w:tcPr>
          <w:p w14:paraId="160B2FDB">
            <w:pPr>
              <w:spacing w:line="360" w:lineRule="auto"/>
              <w:rPr>
                <w:rFonts w:ascii="宋体"/>
                <w:color w:val="auto"/>
                <w:szCs w:val="21"/>
                <w:highlight w:val="none"/>
              </w:rPr>
            </w:pPr>
            <w:r>
              <w:rPr>
                <w:rFonts w:hint="eastAsia" w:ascii="宋体" w:hAnsi="宋体"/>
                <w:color w:val="auto"/>
                <w:szCs w:val="21"/>
                <w:highlight w:val="none"/>
              </w:rPr>
              <w:t>是否通过</w:t>
            </w:r>
          </w:p>
        </w:tc>
      </w:tr>
      <w:tr w14:paraId="60AF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15EC8C4">
            <w:pPr>
              <w:spacing w:line="360" w:lineRule="auto"/>
              <w:rPr>
                <w:rFonts w:ascii="宋体"/>
                <w:color w:val="auto"/>
                <w:szCs w:val="21"/>
                <w:highlight w:val="none"/>
              </w:rPr>
            </w:pPr>
            <w:r>
              <w:rPr>
                <w:rFonts w:ascii="宋体" w:hAnsi="宋体"/>
                <w:color w:val="auto"/>
                <w:szCs w:val="21"/>
                <w:highlight w:val="none"/>
              </w:rPr>
              <w:t>1</w:t>
            </w:r>
          </w:p>
        </w:tc>
        <w:tc>
          <w:tcPr>
            <w:tcW w:w="6282" w:type="dxa"/>
          </w:tcPr>
          <w:p w14:paraId="7C22BD85">
            <w:pPr>
              <w:spacing w:line="360" w:lineRule="auto"/>
              <w:rPr>
                <w:rFonts w:ascii="宋体"/>
                <w:color w:val="auto"/>
                <w:szCs w:val="21"/>
                <w:highlight w:val="none"/>
              </w:rPr>
            </w:pPr>
            <w:r>
              <w:rPr>
                <w:rFonts w:hint="eastAsia" w:ascii="宋体" w:hAnsi="宋体"/>
                <w:color w:val="auto"/>
                <w:szCs w:val="21"/>
                <w:highlight w:val="none"/>
              </w:rPr>
              <w:t>供应商资格是否符合磋商文件要求</w:t>
            </w:r>
          </w:p>
        </w:tc>
        <w:tc>
          <w:tcPr>
            <w:tcW w:w="1440" w:type="dxa"/>
          </w:tcPr>
          <w:p w14:paraId="7596DAD9">
            <w:pPr>
              <w:spacing w:line="360" w:lineRule="auto"/>
              <w:rPr>
                <w:rFonts w:ascii="宋体"/>
                <w:color w:val="auto"/>
                <w:szCs w:val="21"/>
                <w:highlight w:val="none"/>
              </w:rPr>
            </w:pPr>
          </w:p>
        </w:tc>
      </w:tr>
      <w:tr w14:paraId="4D0A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441FECA">
            <w:pPr>
              <w:spacing w:line="360" w:lineRule="auto"/>
              <w:rPr>
                <w:rFonts w:ascii="宋体"/>
                <w:color w:val="auto"/>
                <w:szCs w:val="21"/>
                <w:highlight w:val="none"/>
              </w:rPr>
            </w:pPr>
            <w:r>
              <w:rPr>
                <w:rFonts w:ascii="宋体" w:hAnsi="宋体"/>
                <w:color w:val="auto"/>
                <w:szCs w:val="21"/>
                <w:highlight w:val="none"/>
              </w:rPr>
              <w:t>2</w:t>
            </w:r>
          </w:p>
        </w:tc>
        <w:tc>
          <w:tcPr>
            <w:tcW w:w="6282" w:type="dxa"/>
          </w:tcPr>
          <w:p w14:paraId="16FC42B5">
            <w:pPr>
              <w:spacing w:line="360" w:lineRule="auto"/>
              <w:rPr>
                <w:rFonts w:ascii="宋体"/>
                <w:color w:val="auto"/>
                <w:szCs w:val="21"/>
                <w:highlight w:val="none"/>
              </w:rPr>
            </w:pPr>
            <w:r>
              <w:rPr>
                <w:rFonts w:hint="eastAsia" w:ascii="宋体" w:hAnsi="宋体"/>
                <w:color w:val="auto"/>
                <w:szCs w:val="21"/>
                <w:highlight w:val="none"/>
              </w:rPr>
              <w:t>响应文件是否按磋商文件的要求进行编制、签署和标记</w:t>
            </w:r>
          </w:p>
        </w:tc>
        <w:tc>
          <w:tcPr>
            <w:tcW w:w="1440" w:type="dxa"/>
          </w:tcPr>
          <w:p w14:paraId="3D42D882">
            <w:pPr>
              <w:spacing w:line="360" w:lineRule="auto"/>
              <w:rPr>
                <w:rFonts w:ascii="宋体"/>
                <w:color w:val="auto"/>
                <w:szCs w:val="21"/>
                <w:highlight w:val="none"/>
              </w:rPr>
            </w:pPr>
          </w:p>
        </w:tc>
      </w:tr>
      <w:tr w14:paraId="5DBB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27D583AB">
            <w:pPr>
              <w:spacing w:line="360" w:lineRule="auto"/>
              <w:rPr>
                <w:rFonts w:ascii="宋体"/>
                <w:color w:val="auto"/>
                <w:szCs w:val="21"/>
                <w:highlight w:val="none"/>
              </w:rPr>
            </w:pPr>
            <w:r>
              <w:rPr>
                <w:rFonts w:ascii="宋体" w:hAnsi="宋体"/>
                <w:color w:val="auto"/>
                <w:szCs w:val="21"/>
                <w:highlight w:val="none"/>
              </w:rPr>
              <w:t>3</w:t>
            </w:r>
          </w:p>
        </w:tc>
        <w:tc>
          <w:tcPr>
            <w:tcW w:w="6282" w:type="dxa"/>
          </w:tcPr>
          <w:p w14:paraId="6BAA57C6">
            <w:pPr>
              <w:spacing w:line="360" w:lineRule="auto"/>
              <w:rPr>
                <w:rFonts w:ascii="宋体"/>
                <w:color w:val="auto"/>
                <w:szCs w:val="21"/>
                <w:highlight w:val="none"/>
              </w:rPr>
            </w:pPr>
            <w:r>
              <w:rPr>
                <w:rFonts w:hint="eastAsia" w:ascii="宋体" w:hAnsi="宋体"/>
                <w:color w:val="auto"/>
                <w:szCs w:val="21"/>
                <w:highlight w:val="none"/>
              </w:rPr>
              <w:t>磋商文件要求提交的各种资格证明文件是否真实、完整、合法、有效</w:t>
            </w:r>
          </w:p>
        </w:tc>
        <w:tc>
          <w:tcPr>
            <w:tcW w:w="1440" w:type="dxa"/>
          </w:tcPr>
          <w:p w14:paraId="7F4936D7">
            <w:pPr>
              <w:spacing w:line="360" w:lineRule="auto"/>
              <w:rPr>
                <w:rFonts w:ascii="宋体"/>
                <w:color w:val="auto"/>
                <w:szCs w:val="21"/>
                <w:highlight w:val="none"/>
              </w:rPr>
            </w:pPr>
          </w:p>
        </w:tc>
      </w:tr>
      <w:tr w14:paraId="334A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14:paraId="2ACFA59A">
            <w:pPr>
              <w:spacing w:line="360" w:lineRule="auto"/>
              <w:rPr>
                <w:rFonts w:ascii="宋体" w:hAnsi="宋体"/>
                <w:color w:val="auto"/>
                <w:szCs w:val="21"/>
                <w:highlight w:val="none"/>
              </w:rPr>
            </w:pPr>
            <w:r>
              <w:rPr>
                <w:rFonts w:hint="eastAsia" w:ascii="宋体" w:hAnsi="宋体"/>
                <w:color w:val="auto"/>
                <w:szCs w:val="21"/>
                <w:highlight w:val="none"/>
              </w:rPr>
              <w:t>4</w:t>
            </w:r>
          </w:p>
        </w:tc>
        <w:tc>
          <w:tcPr>
            <w:tcW w:w="6282" w:type="dxa"/>
          </w:tcPr>
          <w:p w14:paraId="5874FA93">
            <w:pPr>
              <w:spacing w:line="360" w:lineRule="auto"/>
              <w:rPr>
                <w:rFonts w:ascii="宋体" w:hAnsi="宋体"/>
                <w:color w:val="auto"/>
                <w:szCs w:val="21"/>
                <w:highlight w:val="none"/>
              </w:rPr>
            </w:pPr>
            <w:r>
              <w:rPr>
                <w:rFonts w:hint="eastAsia" w:ascii="宋体" w:hAnsi="宋体"/>
                <w:color w:val="auto"/>
                <w:szCs w:val="21"/>
                <w:highlight w:val="none"/>
              </w:rPr>
              <w:t>响应文件创建标识码、文件制作机器码是否一致</w:t>
            </w:r>
          </w:p>
        </w:tc>
        <w:tc>
          <w:tcPr>
            <w:tcW w:w="1440" w:type="dxa"/>
          </w:tcPr>
          <w:p w14:paraId="18F022C1">
            <w:pPr>
              <w:spacing w:line="360" w:lineRule="auto"/>
              <w:rPr>
                <w:rFonts w:ascii="宋体"/>
                <w:color w:val="auto"/>
                <w:szCs w:val="21"/>
                <w:highlight w:val="none"/>
              </w:rPr>
            </w:pPr>
          </w:p>
        </w:tc>
      </w:tr>
      <w:tr w14:paraId="0A2E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6" w:type="dxa"/>
          </w:tcPr>
          <w:p w14:paraId="130DC7AA">
            <w:pPr>
              <w:spacing w:line="360" w:lineRule="auto"/>
              <w:rPr>
                <w:rFonts w:ascii="宋体"/>
                <w:color w:val="auto"/>
                <w:szCs w:val="21"/>
                <w:highlight w:val="none"/>
              </w:rPr>
            </w:pPr>
            <w:r>
              <w:rPr>
                <w:rFonts w:hint="eastAsia" w:ascii="宋体" w:hAnsi="宋体"/>
                <w:color w:val="auto"/>
                <w:szCs w:val="21"/>
                <w:highlight w:val="none"/>
              </w:rPr>
              <w:t>5</w:t>
            </w:r>
          </w:p>
        </w:tc>
        <w:tc>
          <w:tcPr>
            <w:tcW w:w="6282" w:type="dxa"/>
          </w:tcPr>
          <w:p w14:paraId="4C8AEC74">
            <w:pPr>
              <w:spacing w:line="360" w:lineRule="auto"/>
              <w:rPr>
                <w:rFonts w:ascii="宋体"/>
                <w:color w:val="auto"/>
                <w:szCs w:val="21"/>
                <w:highlight w:val="none"/>
              </w:rPr>
            </w:pPr>
            <w:r>
              <w:rPr>
                <w:rFonts w:hint="eastAsia" w:ascii="宋体" w:hAnsi="宋体"/>
                <w:color w:val="auto"/>
                <w:szCs w:val="21"/>
                <w:highlight w:val="none"/>
              </w:rPr>
              <w:t>所提供的服务是否有缺少</w:t>
            </w:r>
          </w:p>
        </w:tc>
        <w:tc>
          <w:tcPr>
            <w:tcW w:w="1440" w:type="dxa"/>
          </w:tcPr>
          <w:p w14:paraId="2D38FD76">
            <w:pPr>
              <w:spacing w:line="360" w:lineRule="auto"/>
              <w:rPr>
                <w:rFonts w:ascii="宋体"/>
                <w:color w:val="auto"/>
                <w:szCs w:val="21"/>
                <w:highlight w:val="none"/>
              </w:rPr>
            </w:pPr>
          </w:p>
        </w:tc>
      </w:tr>
      <w:tr w14:paraId="3955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55E4C57A">
            <w:pPr>
              <w:spacing w:line="360" w:lineRule="auto"/>
              <w:rPr>
                <w:rFonts w:ascii="宋体"/>
                <w:color w:val="auto"/>
                <w:szCs w:val="21"/>
                <w:highlight w:val="none"/>
              </w:rPr>
            </w:pPr>
            <w:r>
              <w:rPr>
                <w:rFonts w:hint="eastAsia" w:ascii="宋体" w:hAnsi="宋体"/>
                <w:color w:val="auto"/>
                <w:szCs w:val="21"/>
                <w:highlight w:val="none"/>
              </w:rPr>
              <w:t>6</w:t>
            </w:r>
          </w:p>
        </w:tc>
        <w:tc>
          <w:tcPr>
            <w:tcW w:w="6282" w:type="dxa"/>
          </w:tcPr>
          <w:p w14:paraId="37D4FC17">
            <w:pPr>
              <w:spacing w:line="360" w:lineRule="auto"/>
              <w:rPr>
                <w:rFonts w:ascii="宋体"/>
                <w:color w:val="auto"/>
                <w:szCs w:val="21"/>
                <w:highlight w:val="none"/>
              </w:rPr>
            </w:pPr>
            <w:r>
              <w:rPr>
                <w:rFonts w:hint="eastAsia" w:ascii="宋体" w:hAnsi="宋体"/>
                <w:color w:val="auto"/>
                <w:szCs w:val="21"/>
                <w:highlight w:val="none"/>
              </w:rPr>
              <w:t>磋商响应</w:t>
            </w:r>
            <w:r>
              <w:rPr>
                <w:rFonts w:hint="eastAsia" w:ascii="宋体" w:hAnsi="宋体" w:cs="宋体"/>
                <w:color w:val="auto"/>
                <w:szCs w:val="21"/>
                <w:highlight w:val="none"/>
              </w:rPr>
              <w:t>服务内容及质量是否完全响应或优于</w:t>
            </w:r>
            <w:r>
              <w:rPr>
                <w:rFonts w:hint="eastAsia" w:ascii="宋体" w:hAnsi="宋体"/>
                <w:color w:val="auto"/>
                <w:szCs w:val="21"/>
                <w:highlight w:val="none"/>
              </w:rPr>
              <w:t>磋商文件要求</w:t>
            </w:r>
          </w:p>
        </w:tc>
        <w:tc>
          <w:tcPr>
            <w:tcW w:w="1440" w:type="dxa"/>
          </w:tcPr>
          <w:p w14:paraId="6B6F9A95">
            <w:pPr>
              <w:spacing w:line="360" w:lineRule="auto"/>
              <w:rPr>
                <w:rFonts w:ascii="宋体"/>
                <w:color w:val="auto"/>
                <w:szCs w:val="21"/>
                <w:highlight w:val="none"/>
              </w:rPr>
            </w:pPr>
          </w:p>
        </w:tc>
      </w:tr>
      <w:tr w14:paraId="4996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C7DCAB7">
            <w:pPr>
              <w:spacing w:line="360" w:lineRule="auto"/>
              <w:rPr>
                <w:rFonts w:ascii="宋体"/>
                <w:color w:val="auto"/>
                <w:szCs w:val="21"/>
                <w:highlight w:val="none"/>
              </w:rPr>
            </w:pPr>
            <w:r>
              <w:rPr>
                <w:rFonts w:hint="eastAsia" w:ascii="宋体" w:hAnsi="宋体"/>
                <w:color w:val="auto"/>
                <w:szCs w:val="21"/>
                <w:highlight w:val="none"/>
              </w:rPr>
              <w:t>7</w:t>
            </w:r>
          </w:p>
        </w:tc>
        <w:tc>
          <w:tcPr>
            <w:tcW w:w="6282" w:type="dxa"/>
          </w:tcPr>
          <w:p w14:paraId="4D142F8A">
            <w:pPr>
              <w:spacing w:line="360" w:lineRule="auto"/>
              <w:rPr>
                <w:rFonts w:ascii="宋体"/>
                <w:color w:val="auto"/>
                <w:szCs w:val="21"/>
                <w:highlight w:val="none"/>
              </w:rPr>
            </w:pPr>
            <w:r>
              <w:rPr>
                <w:rFonts w:hint="eastAsia" w:ascii="宋体" w:hAnsi="宋体"/>
                <w:color w:val="auto"/>
                <w:szCs w:val="21"/>
                <w:highlight w:val="none"/>
              </w:rPr>
              <w:t>服务及技术方案是否完整、可行且完全响应或优于磋商文件要求</w:t>
            </w:r>
          </w:p>
        </w:tc>
        <w:tc>
          <w:tcPr>
            <w:tcW w:w="1440" w:type="dxa"/>
          </w:tcPr>
          <w:p w14:paraId="10E2D06E">
            <w:pPr>
              <w:spacing w:line="360" w:lineRule="auto"/>
              <w:rPr>
                <w:rFonts w:ascii="宋体"/>
                <w:color w:val="auto"/>
                <w:szCs w:val="21"/>
                <w:highlight w:val="none"/>
              </w:rPr>
            </w:pPr>
          </w:p>
        </w:tc>
      </w:tr>
      <w:tr w14:paraId="2180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19E0A127">
            <w:pPr>
              <w:spacing w:line="360" w:lineRule="auto"/>
              <w:rPr>
                <w:rFonts w:ascii="宋体"/>
                <w:color w:val="auto"/>
                <w:szCs w:val="21"/>
                <w:highlight w:val="none"/>
              </w:rPr>
            </w:pPr>
            <w:r>
              <w:rPr>
                <w:rFonts w:hint="eastAsia" w:ascii="宋体" w:hAnsi="宋体"/>
                <w:color w:val="auto"/>
                <w:szCs w:val="21"/>
                <w:highlight w:val="none"/>
              </w:rPr>
              <w:t>8</w:t>
            </w:r>
          </w:p>
        </w:tc>
        <w:tc>
          <w:tcPr>
            <w:tcW w:w="6282" w:type="dxa"/>
          </w:tcPr>
          <w:p w14:paraId="4603AEB8">
            <w:pPr>
              <w:spacing w:line="360" w:lineRule="auto"/>
              <w:rPr>
                <w:rFonts w:ascii="宋体"/>
                <w:color w:val="auto"/>
                <w:szCs w:val="21"/>
                <w:highlight w:val="none"/>
              </w:rPr>
            </w:pPr>
            <w:r>
              <w:rPr>
                <w:rFonts w:hint="eastAsia" w:ascii="宋体" w:hAnsi="宋体"/>
                <w:color w:val="auto"/>
                <w:szCs w:val="21"/>
                <w:highlight w:val="none"/>
              </w:rPr>
              <w:t>响应文件对法律、法规和竞争性磋商文件其他明确要求的符合性</w:t>
            </w:r>
          </w:p>
        </w:tc>
        <w:tc>
          <w:tcPr>
            <w:tcW w:w="1440" w:type="dxa"/>
          </w:tcPr>
          <w:p w14:paraId="678CA332">
            <w:pPr>
              <w:spacing w:line="360" w:lineRule="auto"/>
              <w:rPr>
                <w:rFonts w:ascii="宋体"/>
                <w:color w:val="auto"/>
                <w:szCs w:val="21"/>
                <w:highlight w:val="none"/>
              </w:rPr>
            </w:pPr>
          </w:p>
        </w:tc>
      </w:tr>
      <w:tr w14:paraId="5EF0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73BCDFBC">
            <w:pPr>
              <w:spacing w:line="360" w:lineRule="auto"/>
              <w:rPr>
                <w:rFonts w:ascii="宋体"/>
                <w:color w:val="auto"/>
                <w:szCs w:val="21"/>
                <w:highlight w:val="none"/>
              </w:rPr>
            </w:pPr>
            <w:r>
              <w:rPr>
                <w:rFonts w:hint="eastAsia" w:ascii="宋体" w:hAnsi="宋体"/>
                <w:color w:val="auto"/>
                <w:szCs w:val="21"/>
                <w:highlight w:val="none"/>
              </w:rPr>
              <w:t>9</w:t>
            </w:r>
          </w:p>
        </w:tc>
        <w:tc>
          <w:tcPr>
            <w:tcW w:w="6282" w:type="dxa"/>
          </w:tcPr>
          <w:p w14:paraId="2FE37260">
            <w:pPr>
              <w:spacing w:line="360" w:lineRule="auto"/>
              <w:rPr>
                <w:rFonts w:ascii="宋体"/>
                <w:color w:val="auto"/>
                <w:szCs w:val="21"/>
                <w:highlight w:val="none"/>
              </w:rPr>
            </w:pPr>
            <w:r>
              <w:rPr>
                <w:rFonts w:hint="eastAsia" w:ascii="Dotum" w:hAnsi="Dotum"/>
                <w:color w:val="auto"/>
                <w:szCs w:val="21"/>
                <w:highlight w:val="none"/>
              </w:rPr>
              <w:t>单位负责人为同一人或者存在控股、管理关系的不同单位是否同时参加本项目响应</w:t>
            </w:r>
          </w:p>
        </w:tc>
        <w:tc>
          <w:tcPr>
            <w:tcW w:w="1440" w:type="dxa"/>
          </w:tcPr>
          <w:p w14:paraId="6B0CC9AC">
            <w:pPr>
              <w:spacing w:line="360" w:lineRule="auto"/>
              <w:rPr>
                <w:rFonts w:ascii="宋体"/>
                <w:color w:val="auto"/>
                <w:szCs w:val="21"/>
                <w:highlight w:val="none"/>
              </w:rPr>
            </w:pPr>
          </w:p>
        </w:tc>
      </w:tr>
      <w:tr w14:paraId="288A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47795726">
            <w:pPr>
              <w:spacing w:line="360" w:lineRule="auto"/>
              <w:rPr>
                <w:rFonts w:ascii="宋体"/>
                <w:color w:val="auto"/>
                <w:szCs w:val="21"/>
                <w:highlight w:val="none"/>
              </w:rPr>
            </w:pPr>
            <w:r>
              <w:rPr>
                <w:rFonts w:hint="eastAsia" w:ascii="宋体" w:hAnsi="宋体"/>
                <w:color w:val="auto"/>
                <w:szCs w:val="21"/>
                <w:highlight w:val="none"/>
              </w:rPr>
              <w:t>10</w:t>
            </w:r>
          </w:p>
        </w:tc>
        <w:tc>
          <w:tcPr>
            <w:tcW w:w="6282" w:type="dxa"/>
          </w:tcPr>
          <w:p w14:paraId="1760C7AB">
            <w:pPr>
              <w:spacing w:line="360" w:lineRule="auto"/>
              <w:rPr>
                <w:rFonts w:ascii="Dotum" w:eastAsia="Dotum"/>
                <w:color w:val="auto"/>
                <w:szCs w:val="21"/>
                <w:highlight w:val="none"/>
              </w:rPr>
            </w:pPr>
            <w:r>
              <w:rPr>
                <w:rFonts w:hint="eastAsia" w:ascii="Dotum" w:hAnsi="Dotum"/>
                <w:color w:val="auto"/>
                <w:szCs w:val="21"/>
                <w:highlight w:val="none"/>
              </w:rPr>
              <w:t>响应文件是否有采购人不能接受的条件</w:t>
            </w:r>
          </w:p>
        </w:tc>
        <w:tc>
          <w:tcPr>
            <w:tcW w:w="1440" w:type="dxa"/>
          </w:tcPr>
          <w:p w14:paraId="66BD5AB5">
            <w:pPr>
              <w:spacing w:line="360" w:lineRule="auto"/>
              <w:rPr>
                <w:rFonts w:ascii="宋体"/>
                <w:color w:val="auto"/>
                <w:szCs w:val="21"/>
                <w:highlight w:val="none"/>
              </w:rPr>
            </w:pPr>
          </w:p>
        </w:tc>
      </w:tr>
      <w:tr w14:paraId="3E13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B20F978">
            <w:pPr>
              <w:spacing w:line="360" w:lineRule="auto"/>
              <w:rPr>
                <w:rFonts w:ascii="宋体"/>
                <w:color w:val="auto"/>
                <w:szCs w:val="21"/>
                <w:highlight w:val="none"/>
              </w:rPr>
            </w:pPr>
            <w:r>
              <w:rPr>
                <w:rFonts w:hint="eastAsia" w:ascii="宋体" w:hAnsi="宋体"/>
                <w:color w:val="auto"/>
                <w:szCs w:val="21"/>
                <w:highlight w:val="none"/>
              </w:rPr>
              <w:t>11</w:t>
            </w:r>
          </w:p>
        </w:tc>
        <w:tc>
          <w:tcPr>
            <w:tcW w:w="6282" w:type="dxa"/>
          </w:tcPr>
          <w:p w14:paraId="3A0BEF8C">
            <w:pPr>
              <w:spacing w:line="360" w:lineRule="auto"/>
              <w:rPr>
                <w:rFonts w:ascii="Dotum" w:eastAsia="Dotum"/>
                <w:color w:val="auto"/>
                <w:szCs w:val="21"/>
                <w:highlight w:val="none"/>
              </w:rPr>
            </w:pPr>
            <w:r>
              <w:rPr>
                <w:rFonts w:hint="eastAsia" w:ascii="Dotum" w:hAnsi="Dotum"/>
                <w:color w:val="auto"/>
                <w:szCs w:val="21"/>
                <w:highlight w:val="none"/>
              </w:rPr>
              <w:t>响应文件是否存在磋商文件中约定的无效响应文件的其他情况</w:t>
            </w:r>
          </w:p>
        </w:tc>
        <w:tc>
          <w:tcPr>
            <w:tcW w:w="1440" w:type="dxa"/>
          </w:tcPr>
          <w:p w14:paraId="0A111343">
            <w:pPr>
              <w:spacing w:line="360" w:lineRule="auto"/>
              <w:rPr>
                <w:rFonts w:ascii="宋体"/>
                <w:color w:val="auto"/>
                <w:szCs w:val="21"/>
                <w:highlight w:val="none"/>
              </w:rPr>
            </w:pPr>
          </w:p>
        </w:tc>
      </w:tr>
      <w:tr w14:paraId="1D0A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Pr>
          <w:p w14:paraId="66D05A85">
            <w:pPr>
              <w:spacing w:line="360" w:lineRule="auto"/>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p>
        </w:tc>
        <w:tc>
          <w:tcPr>
            <w:tcW w:w="6282" w:type="dxa"/>
          </w:tcPr>
          <w:p w14:paraId="53F3E8C6">
            <w:pPr>
              <w:spacing w:line="360" w:lineRule="auto"/>
              <w:rPr>
                <w:rFonts w:ascii="Dotum" w:eastAsia="Dotum"/>
                <w:color w:val="auto"/>
                <w:szCs w:val="21"/>
                <w:highlight w:val="none"/>
              </w:rPr>
            </w:pPr>
            <w:r>
              <w:rPr>
                <w:rFonts w:hint="eastAsia" w:ascii="Dotum" w:hAnsi="Dotum"/>
                <w:color w:val="auto"/>
                <w:szCs w:val="21"/>
                <w:highlight w:val="none"/>
              </w:rPr>
              <w:t>响应文件是否符合磋商文件</w:t>
            </w:r>
          </w:p>
        </w:tc>
        <w:tc>
          <w:tcPr>
            <w:tcW w:w="1440" w:type="dxa"/>
          </w:tcPr>
          <w:p w14:paraId="7D6A9A1D">
            <w:pPr>
              <w:spacing w:line="360" w:lineRule="auto"/>
              <w:rPr>
                <w:rFonts w:ascii="宋体"/>
                <w:color w:val="auto"/>
                <w:szCs w:val="21"/>
                <w:highlight w:val="none"/>
              </w:rPr>
            </w:pPr>
          </w:p>
        </w:tc>
      </w:tr>
    </w:tbl>
    <w:p w14:paraId="04339BCE">
      <w:pPr>
        <w:widowControl/>
        <w:spacing w:line="500" w:lineRule="exact"/>
        <w:ind w:firstLine="405"/>
        <w:jc w:val="left"/>
        <w:rPr>
          <w:rFonts w:ascii="宋体" w:cs="宋体"/>
          <w:b/>
          <w:color w:val="auto"/>
          <w:szCs w:val="21"/>
          <w:highlight w:val="none"/>
        </w:rPr>
      </w:pPr>
      <w:r>
        <w:rPr>
          <w:rFonts w:hint="eastAsia" w:ascii="宋体" w:hAnsi="宋体" w:cs="宋体"/>
          <w:b/>
          <w:color w:val="auto"/>
          <w:szCs w:val="21"/>
          <w:highlight w:val="none"/>
        </w:rPr>
        <w:t>备注</w:t>
      </w:r>
      <w:r>
        <w:rPr>
          <w:rFonts w:hint="eastAsia" w:ascii="宋体" w:cs="宋体"/>
          <w:b/>
          <w:color w:val="auto"/>
          <w:szCs w:val="21"/>
          <w:highlight w:val="none"/>
        </w:rPr>
        <w:t>：</w:t>
      </w:r>
      <w:r>
        <w:rPr>
          <w:rFonts w:hint="eastAsia" w:ascii="宋体" w:hAnsi="宋体"/>
          <w:color w:val="auto"/>
          <w:szCs w:val="21"/>
          <w:highlight w:val="none"/>
        </w:rPr>
        <w:t>供应商须按磋商文件要求提供复印件或影印件或扫描件，并加盖供应商公章，否则响应无效。</w:t>
      </w:r>
    </w:p>
    <w:p w14:paraId="0272A358">
      <w:pPr>
        <w:spacing w:line="360" w:lineRule="auto"/>
        <w:ind w:firstLine="413" w:firstLineChars="196"/>
        <w:outlineLvl w:val="4"/>
        <w:rPr>
          <w:rFonts w:ascii="宋体" w:hAnsi="宋体"/>
          <w:b/>
          <w:color w:val="auto"/>
          <w:szCs w:val="21"/>
          <w:highlight w:val="none"/>
        </w:rPr>
      </w:pPr>
      <w:r>
        <w:rPr>
          <w:rFonts w:ascii="宋体" w:hAnsi="宋体"/>
          <w:b/>
          <w:color w:val="auto"/>
          <w:szCs w:val="21"/>
          <w:highlight w:val="none"/>
        </w:rPr>
        <w:t xml:space="preserve"> 25.2</w:t>
      </w:r>
      <w:r>
        <w:rPr>
          <w:rFonts w:hint="eastAsia" w:ascii="宋体" w:hAnsi="宋体"/>
          <w:b/>
          <w:color w:val="auto"/>
          <w:szCs w:val="21"/>
          <w:highlight w:val="none"/>
        </w:rPr>
        <w:t>、磋商</w:t>
      </w:r>
    </w:p>
    <w:p w14:paraId="78A652ED">
      <w:pPr>
        <w:adjustRightInd w:val="0"/>
        <w:spacing w:line="480" w:lineRule="exact"/>
        <w:textAlignment w:val="baseline"/>
        <w:rPr>
          <w:color w:val="auto"/>
          <w:szCs w:val="21"/>
          <w:highlight w:val="none"/>
        </w:rPr>
      </w:pPr>
      <w:r>
        <w:rPr>
          <w:rFonts w:ascii="宋体" w:hAnsi="宋体"/>
          <w:color w:val="auto"/>
          <w:szCs w:val="21"/>
          <w:highlight w:val="none"/>
        </w:rPr>
        <w:t xml:space="preserve">     25.2.1</w:t>
      </w:r>
      <w:r>
        <w:rPr>
          <w:rFonts w:hint="eastAsia" w:ascii="宋体" w:hAnsi="宋体"/>
          <w:color w:val="auto"/>
          <w:szCs w:val="21"/>
          <w:highlight w:val="none"/>
        </w:rPr>
        <w:t>所</w:t>
      </w:r>
      <w:r>
        <w:rPr>
          <w:rFonts w:hint="eastAsia"/>
          <w:color w:val="auto"/>
          <w:szCs w:val="21"/>
          <w:highlight w:val="none"/>
        </w:rPr>
        <w:t>有通过符合性审查的供应商均可以参加磋商。</w:t>
      </w:r>
      <w:r>
        <w:rPr>
          <w:rFonts w:hint="eastAsia" w:ascii="宋体" w:hAnsi="宋体"/>
          <w:color w:val="auto"/>
          <w:szCs w:val="21"/>
          <w:highlight w:val="none"/>
        </w:rPr>
        <w:t>磋商小组所有成员应当集中与单一供应商分别进行磋商，给予每个正在参加磋商的供应商相同的机会。</w:t>
      </w:r>
      <w:r>
        <w:rPr>
          <w:rFonts w:hint="eastAsia"/>
          <w:color w:val="auto"/>
          <w:szCs w:val="21"/>
          <w:highlight w:val="none"/>
        </w:rPr>
        <w:t>磋商内容为</w:t>
      </w:r>
      <w:r>
        <w:rPr>
          <w:rFonts w:hint="eastAsia" w:hAnsi="宋体" w:cs="宋体"/>
          <w:color w:val="auto"/>
          <w:szCs w:val="21"/>
          <w:highlight w:val="none"/>
        </w:rPr>
        <w:t>根据磋商文件要求，就供应商</w:t>
      </w:r>
      <w:r>
        <w:rPr>
          <w:rFonts w:hint="eastAsia"/>
          <w:color w:val="auto"/>
          <w:szCs w:val="21"/>
          <w:highlight w:val="none"/>
        </w:rPr>
        <w:t>响应文件中提供的方案等进行磋商。</w:t>
      </w:r>
    </w:p>
    <w:p w14:paraId="03C6EE21">
      <w:pPr>
        <w:adjustRightInd w:val="0"/>
        <w:spacing w:line="480" w:lineRule="exact"/>
        <w:ind w:left="178" w:leftChars="85" w:firstLine="420" w:firstLineChars="200"/>
        <w:textAlignment w:val="baseline"/>
        <w:rPr>
          <w:rFonts w:ascii="宋体" w:hAnsi="宋体"/>
          <w:color w:val="auto"/>
          <w:szCs w:val="21"/>
          <w:highlight w:val="none"/>
        </w:rPr>
      </w:pPr>
      <w:r>
        <w:rPr>
          <w:rFonts w:ascii="宋体" w:hAnsi="宋体"/>
          <w:color w:val="auto"/>
          <w:szCs w:val="21"/>
          <w:highlight w:val="none"/>
        </w:rPr>
        <w:t>25.2.2</w:t>
      </w: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r>
        <w:rPr>
          <w:rFonts w:ascii="宋体" w:hAnsi="宋体"/>
          <w:color w:val="auto"/>
          <w:szCs w:val="21"/>
          <w:highlight w:val="none"/>
        </w:rPr>
        <w:t xml:space="preserve"> </w:t>
      </w:r>
    </w:p>
    <w:p w14:paraId="2197DA35">
      <w:pPr>
        <w:adjustRightInd w:val="0"/>
        <w:spacing w:line="480" w:lineRule="exact"/>
        <w:ind w:left="178" w:leftChars="85" w:firstLine="420" w:firstLineChars="200"/>
        <w:textAlignment w:val="baseline"/>
        <w:rPr>
          <w:rFonts w:ascii="宋体" w:hAnsi="宋体"/>
          <w:color w:val="auto"/>
          <w:szCs w:val="21"/>
          <w:highlight w:val="none"/>
        </w:rPr>
      </w:pPr>
      <w:r>
        <w:rPr>
          <w:rFonts w:ascii="宋体" w:hAnsi="宋体"/>
          <w:color w:val="auto"/>
          <w:szCs w:val="21"/>
          <w:highlight w:val="none"/>
        </w:rPr>
        <w:t>25.2.3</w:t>
      </w:r>
      <w:r>
        <w:rPr>
          <w:rFonts w:hint="eastAsia" w:ascii="宋体" w:hAnsi="宋体"/>
          <w:color w:val="auto"/>
          <w:szCs w:val="21"/>
          <w:highlight w:val="none"/>
        </w:rPr>
        <w:t>对磋商文件作出的实质性变动是磋商文件的有效组成部分，磋商小组及时以书面形式同时通知所有参加磋商的供应商。</w:t>
      </w:r>
      <w:r>
        <w:rPr>
          <w:rFonts w:ascii="宋体" w:hAnsi="宋体"/>
          <w:color w:val="auto"/>
          <w:szCs w:val="21"/>
          <w:highlight w:val="none"/>
        </w:rPr>
        <w:t xml:space="preserve"> </w:t>
      </w:r>
    </w:p>
    <w:p w14:paraId="1664E0B5">
      <w:pPr>
        <w:adjustRightInd w:val="0"/>
        <w:spacing w:line="480" w:lineRule="exact"/>
        <w:ind w:left="178" w:leftChars="85" w:firstLine="420" w:firstLineChars="200"/>
        <w:textAlignment w:val="baseline"/>
        <w:rPr>
          <w:color w:val="auto"/>
          <w:szCs w:val="21"/>
          <w:highlight w:val="none"/>
        </w:rPr>
      </w:pPr>
      <w:r>
        <w:rPr>
          <w:rFonts w:ascii="宋体" w:hAnsi="宋体"/>
          <w:color w:val="auto"/>
          <w:szCs w:val="21"/>
          <w:highlight w:val="none"/>
        </w:rPr>
        <w:t>25.2.4</w:t>
      </w:r>
      <w:r>
        <w:rPr>
          <w:rFonts w:hint="eastAsia" w:ascii="宋体" w:hAnsi="宋体"/>
          <w:color w:val="auto"/>
          <w:szCs w:val="21"/>
          <w:highlight w:val="none"/>
        </w:rPr>
        <w:t>供应商按照磋商文件的变动情况和磋商小组的要求自主决定是否修改响应文件，如修改响应文件，</w:t>
      </w:r>
      <w:r>
        <w:rPr>
          <w:rFonts w:hint="eastAsia"/>
          <w:color w:val="auto"/>
          <w:szCs w:val="21"/>
          <w:highlight w:val="none"/>
        </w:rPr>
        <w:t>供应商应当按照磋商文件的变动情况和磋商小组的要求重新提交响应文件，并由其法定代表人或授权代表签字或者加盖公章。由授权代表签字的，应当附法定代表人授权书。</w:t>
      </w:r>
    </w:p>
    <w:p w14:paraId="1EF27CFD">
      <w:pPr>
        <w:adjustRightInd w:val="0"/>
        <w:spacing w:line="480" w:lineRule="exact"/>
        <w:ind w:left="178" w:leftChars="85" w:firstLine="422" w:firstLineChars="200"/>
        <w:textAlignment w:val="baseline"/>
        <w:outlineLvl w:val="4"/>
        <w:rPr>
          <w:rFonts w:ascii="宋体"/>
          <w:b/>
          <w:bCs/>
          <w:color w:val="auto"/>
          <w:szCs w:val="21"/>
          <w:highlight w:val="none"/>
        </w:rPr>
      </w:pPr>
      <w:r>
        <w:rPr>
          <w:rFonts w:ascii="宋体" w:hAnsi="宋体"/>
          <w:b/>
          <w:bCs/>
          <w:color w:val="auto"/>
          <w:szCs w:val="21"/>
          <w:highlight w:val="none"/>
        </w:rPr>
        <w:t>25.3</w:t>
      </w:r>
      <w:r>
        <w:rPr>
          <w:rFonts w:hint="eastAsia" w:ascii="宋体" w:hAnsi="宋体"/>
          <w:b/>
          <w:bCs/>
          <w:color w:val="auto"/>
          <w:szCs w:val="21"/>
          <w:highlight w:val="none"/>
        </w:rPr>
        <w:t>最后报价</w:t>
      </w:r>
    </w:p>
    <w:p w14:paraId="207F7404">
      <w:pPr>
        <w:adjustRightInd w:val="0"/>
        <w:spacing w:line="480" w:lineRule="exact"/>
        <w:ind w:left="178" w:leftChars="85" w:firstLine="420" w:firstLineChars="200"/>
        <w:textAlignment w:val="baseline"/>
        <w:rPr>
          <w:rFonts w:ascii="宋体" w:hAnsi="宋体"/>
          <w:color w:val="auto"/>
          <w:szCs w:val="21"/>
          <w:highlight w:val="none"/>
        </w:rPr>
      </w:pPr>
      <w:r>
        <w:rPr>
          <w:rFonts w:hint="eastAsia" w:ascii="宋体" w:hAnsi="宋体"/>
          <w:color w:val="auto"/>
          <w:szCs w:val="21"/>
          <w:highlight w:val="none"/>
        </w:rPr>
        <w:t>若经磋商后需更改响应文件报价部分的，允许供应商作最后修改，修改结果是供应商响应文件的有效组成部分。最后修改必须由其法定代表人或授权代表签字或者加盖公章，无签字或盖章的视为无效修改。</w:t>
      </w:r>
    </w:p>
    <w:p w14:paraId="02E23CE6">
      <w:pPr>
        <w:widowControl/>
        <w:spacing w:line="500" w:lineRule="exact"/>
        <w:ind w:left="210" w:leftChars="100" w:firstLine="422" w:firstLineChars="200"/>
        <w:jc w:val="left"/>
        <w:rPr>
          <w:rFonts w:ascii="宋体" w:hAnsi="宋体"/>
          <w:b/>
          <w:color w:val="auto"/>
          <w:szCs w:val="21"/>
          <w:highlight w:val="none"/>
        </w:rPr>
      </w:pPr>
      <w:r>
        <w:rPr>
          <w:rFonts w:hint="eastAsia" w:ascii="宋体" w:hAnsi="宋体"/>
          <w:b/>
          <w:color w:val="auto"/>
          <w:szCs w:val="21"/>
          <w:highlight w:val="none"/>
        </w:rPr>
        <w:t>供应商磋商响应报价与公布的预算价（或最高磋商限价)相比降幅过小，或供应商磋商响应报价明显缺乏竞争性的，磋商小组可以否决所有磋商响应文件。</w:t>
      </w:r>
    </w:p>
    <w:p w14:paraId="2878AEC8">
      <w:pPr>
        <w:spacing w:line="480" w:lineRule="exact"/>
        <w:ind w:firstLine="422" w:firstLineChars="200"/>
        <w:outlineLvl w:val="4"/>
        <w:rPr>
          <w:rFonts w:ascii="宋体"/>
          <w:b/>
          <w:bCs/>
          <w:color w:val="auto"/>
          <w:szCs w:val="21"/>
          <w:highlight w:val="none"/>
        </w:rPr>
      </w:pPr>
      <w:r>
        <w:rPr>
          <w:rFonts w:ascii="宋体" w:hAnsi="宋体"/>
          <w:b/>
          <w:bCs/>
          <w:color w:val="auto"/>
          <w:szCs w:val="21"/>
          <w:highlight w:val="none"/>
        </w:rPr>
        <w:t xml:space="preserve"> 25.4</w:t>
      </w:r>
      <w:r>
        <w:rPr>
          <w:rFonts w:hint="eastAsia" w:ascii="宋体" w:hAnsi="宋体"/>
          <w:b/>
          <w:bCs/>
          <w:color w:val="auto"/>
          <w:szCs w:val="21"/>
          <w:highlight w:val="none"/>
        </w:rPr>
        <w:t>综合评审</w:t>
      </w:r>
    </w:p>
    <w:p w14:paraId="2D223CFC">
      <w:pPr>
        <w:spacing w:line="480" w:lineRule="exact"/>
        <w:ind w:firstLine="420" w:firstLineChars="200"/>
        <w:rPr>
          <w:rFonts w:ascii="宋体"/>
          <w:color w:val="auto"/>
          <w:szCs w:val="21"/>
          <w:highlight w:val="none"/>
          <w:lang w:val="zh-CN"/>
        </w:rPr>
      </w:pPr>
      <w:r>
        <w:rPr>
          <w:rFonts w:ascii="宋体" w:hAnsi="宋体"/>
          <w:color w:val="auto"/>
          <w:szCs w:val="21"/>
          <w:highlight w:val="none"/>
        </w:rPr>
        <w:t xml:space="preserve"> </w:t>
      </w:r>
      <w:r>
        <w:rPr>
          <w:rFonts w:hint="eastAsia" w:ascii="宋体" w:hAnsi="宋体"/>
          <w:color w:val="auto"/>
          <w:szCs w:val="21"/>
          <w:highlight w:val="none"/>
          <w:lang w:val="zh-CN"/>
        </w:rPr>
        <w:t>经磋商确定最终采购需求和提交最后报价的供应商后，由磋商小组采用综合评分法对提交最后报价的供应商的响应文件和最后报价进行综合评分。</w:t>
      </w:r>
    </w:p>
    <w:p w14:paraId="2866E639">
      <w:pPr>
        <w:spacing w:line="480" w:lineRule="exact"/>
        <w:ind w:firstLine="420" w:firstLineChars="200"/>
        <w:rPr>
          <w:rFonts w:ascii="宋体"/>
          <w:color w:val="auto"/>
          <w:szCs w:val="21"/>
          <w:highlight w:val="none"/>
        </w:rPr>
      </w:pPr>
      <w:r>
        <w:rPr>
          <w:rFonts w:hint="eastAsia" w:ascii="宋体" w:hAnsi="宋体"/>
          <w:color w:val="auto"/>
          <w:szCs w:val="21"/>
          <w:highlight w:val="none"/>
          <w:lang w:val="zh-CN"/>
        </w:rPr>
        <w:t>评审办法：综合评分法，是指响应文件满足磋商文件全部实质性要求且按评审因素的量化指标评审得分最高的供应商为成交候选供应商的评审方法。</w:t>
      </w:r>
    </w:p>
    <w:p w14:paraId="71C2090B">
      <w:pPr>
        <w:spacing w:line="480" w:lineRule="exact"/>
        <w:outlineLvl w:val="3"/>
        <w:rPr>
          <w:rFonts w:ascii="宋体"/>
          <w:color w:val="auto"/>
          <w:szCs w:val="21"/>
          <w:highlight w:val="none"/>
        </w:rPr>
      </w:pPr>
      <w:r>
        <w:rPr>
          <w:rFonts w:ascii="宋体" w:hAnsi="宋体"/>
          <w:color w:val="auto"/>
          <w:szCs w:val="21"/>
          <w:highlight w:val="none"/>
        </w:rPr>
        <w:t xml:space="preserve">  </w:t>
      </w:r>
      <w:r>
        <w:rPr>
          <w:rFonts w:ascii="宋体" w:hAnsi="宋体"/>
          <w:b/>
          <w:bCs/>
          <w:color w:val="auto"/>
          <w:szCs w:val="21"/>
          <w:highlight w:val="none"/>
        </w:rPr>
        <w:t xml:space="preserve"> 2</w:t>
      </w:r>
      <w:r>
        <w:rPr>
          <w:rFonts w:hint="eastAsia" w:ascii="宋体" w:hAnsi="宋体"/>
          <w:b/>
          <w:bCs/>
          <w:color w:val="auto"/>
          <w:szCs w:val="21"/>
          <w:highlight w:val="none"/>
        </w:rPr>
        <w:t>6</w:t>
      </w:r>
      <w:r>
        <w:rPr>
          <w:rFonts w:ascii="宋体" w:hAnsi="宋体"/>
          <w:b/>
          <w:bCs/>
          <w:color w:val="auto"/>
          <w:szCs w:val="21"/>
          <w:highlight w:val="none"/>
        </w:rPr>
        <w:t xml:space="preserve"> </w:t>
      </w:r>
      <w:r>
        <w:rPr>
          <w:rFonts w:hint="eastAsia" w:ascii="宋体" w:hAnsi="宋体"/>
          <w:b/>
          <w:bCs/>
          <w:color w:val="auto"/>
          <w:szCs w:val="21"/>
          <w:highlight w:val="none"/>
        </w:rPr>
        <w:t>澄清及错误修正</w:t>
      </w:r>
    </w:p>
    <w:p w14:paraId="57E5C428">
      <w:pPr>
        <w:spacing w:line="480" w:lineRule="exact"/>
        <w:ind w:firstLine="420" w:firstLineChars="200"/>
        <w:rPr>
          <w:rFonts w:ascii="宋体" w:hAnsi="宋体"/>
          <w:color w:val="auto"/>
          <w:szCs w:val="21"/>
          <w:highlight w:val="none"/>
          <w:lang w:val="zh-CN"/>
        </w:rPr>
      </w:pPr>
      <w:r>
        <w:rPr>
          <w:rFonts w:hint="eastAsia"/>
          <w:color w:val="auto"/>
          <w:szCs w:val="21"/>
          <w:highlight w:val="none"/>
        </w:rPr>
        <w:t>磋商和评审过程中，如响应文件中存在的细微偏差并未在实质上违背磋商文件的要求，只是在个别地方存在漏项或者提供不完整的信息或数据，并且补正这些漏项或不完整不会对其它供应商造成不公平的结果的，则该细微偏差不构成供应商的非实质响应。磋商小组可以书面形式要求供应商对所提交响应文件中不明确内容进行书面澄清或说明，或者对细微偏差进行补正。有关澄清说明与答复，供应商应以书面形式按磋商文件的约定进行签署。磋商小组不接受供应商主动</w:t>
      </w:r>
      <w:r>
        <w:rPr>
          <w:rFonts w:hint="eastAsia" w:ascii="宋体" w:hAnsi="宋体"/>
          <w:color w:val="auto"/>
          <w:szCs w:val="21"/>
          <w:highlight w:val="none"/>
          <w:lang w:val="zh-CN"/>
        </w:rPr>
        <w:t>提出的澄清、说明或补正。</w:t>
      </w:r>
    </w:p>
    <w:p w14:paraId="0116A118">
      <w:pPr>
        <w:autoSpaceDE w:val="0"/>
        <w:autoSpaceDN w:val="0"/>
        <w:adjustRightInd w:val="0"/>
        <w:snapToGrid w:val="0"/>
        <w:spacing w:line="480" w:lineRule="exact"/>
        <w:ind w:firstLine="411" w:firstLineChars="196"/>
        <w:outlineLvl w:val="3"/>
        <w:rPr>
          <w:rFonts w:ascii="宋体" w:hAnsi="宋体"/>
          <w:b/>
          <w:bCs/>
          <w:color w:val="auto"/>
          <w:szCs w:val="21"/>
          <w:highlight w:val="none"/>
        </w:rPr>
      </w:pPr>
      <w:r>
        <w:rPr>
          <w:rFonts w:hint="eastAsia" w:ascii="宋体" w:hAnsi="宋体"/>
          <w:color w:val="auto"/>
          <w:szCs w:val="21"/>
          <w:highlight w:val="none"/>
        </w:rPr>
        <w:t>27、</w:t>
      </w:r>
      <w:r>
        <w:rPr>
          <w:rFonts w:hint="eastAsia" w:ascii="宋体" w:hAnsi="宋体"/>
          <w:b/>
          <w:bCs/>
          <w:color w:val="auto"/>
          <w:szCs w:val="21"/>
          <w:highlight w:val="none"/>
        </w:rPr>
        <w:t>确定成交供应商</w:t>
      </w:r>
    </w:p>
    <w:p w14:paraId="2367F8AF">
      <w:pPr>
        <w:widowControl/>
        <w:spacing w:line="500" w:lineRule="exact"/>
        <w:ind w:firstLine="420"/>
        <w:jc w:val="left"/>
        <w:rPr>
          <w:rStyle w:val="70"/>
          <w:color w:val="auto"/>
          <w:szCs w:val="21"/>
          <w:highlight w:val="none"/>
        </w:rPr>
      </w:pPr>
      <w:r>
        <w:rPr>
          <w:rFonts w:hint="eastAsia" w:ascii="宋体" w:hAnsi="宋体"/>
          <w:color w:val="auto"/>
          <w:szCs w:val="21"/>
          <w:highlight w:val="none"/>
        </w:rPr>
        <w:t>磋商小组查询排序前三名的供应商信用记录，供应商存在不良信用记录的，磋商小组</w:t>
      </w:r>
      <w:r>
        <w:rPr>
          <w:color w:val="auto"/>
          <w:highlight w:val="none"/>
        </w:rPr>
        <w:fldChar w:fldCharType="begin"/>
      </w:r>
      <w:r>
        <w:rPr>
          <w:color w:val="auto"/>
          <w:highlight w:val="none"/>
        </w:rPr>
        <w:instrText xml:space="preserve"> HYPERLINK "http://www.ccgp.gov.cn/），若核查存在政府采购严重违法失信名单记录的投标人，评标委员会不得将其推荐为中标候选人，依序递补，并再次对递补的投标人进行核查及计算信用评审价。" </w:instrText>
      </w:r>
      <w:r>
        <w:rPr>
          <w:color w:val="auto"/>
          <w:highlight w:val="none"/>
        </w:rPr>
        <w:fldChar w:fldCharType="separate"/>
      </w:r>
      <w:r>
        <w:rPr>
          <w:rStyle w:val="70"/>
          <w:rFonts w:hint="eastAsia"/>
          <w:color w:val="auto"/>
          <w:szCs w:val="21"/>
          <w:highlight w:val="none"/>
          <w:u w:val="none"/>
        </w:rPr>
        <w:t>不得将其推荐为成交候选人，依序递补，并再次对递补的供应商进行核查。</w:t>
      </w:r>
      <w:r>
        <w:rPr>
          <w:rStyle w:val="70"/>
          <w:rFonts w:hint="eastAsia"/>
          <w:color w:val="auto"/>
          <w:szCs w:val="21"/>
          <w:highlight w:val="none"/>
          <w:u w:val="none"/>
        </w:rPr>
        <w:fldChar w:fldCharType="end"/>
      </w:r>
    </w:p>
    <w:p w14:paraId="0F199747">
      <w:pPr>
        <w:widowControl/>
        <w:spacing w:line="500" w:lineRule="exact"/>
        <w:ind w:firstLine="420"/>
        <w:jc w:val="left"/>
        <w:rPr>
          <w:rFonts w:ascii="宋体" w:hAnsi="宋体"/>
          <w:color w:val="auto"/>
          <w:szCs w:val="21"/>
          <w:highlight w:val="none"/>
        </w:rPr>
      </w:pPr>
      <w:r>
        <w:rPr>
          <w:rFonts w:ascii="宋体" w:hAnsi="宋体"/>
          <w:color w:val="auto"/>
          <w:szCs w:val="21"/>
          <w:highlight w:val="none"/>
        </w:rPr>
        <w:t>27.1</w:t>
      </w:r>
      <w:r>
        <w:rPr>
          <w:rFonts w:hint="eastAsia" w:ascii="宋体" w:hAnsi="宋体"/>
          <w:color w:val="auto"/>
          <w:szCs w:val="21"/>
          <w:highlight w:val="none"/>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响应无效。</w:t>
      </w:r>
    </w:p>
    <w:p w14:paraId="03DEF16B">
      <w:pPr>
        <w:widowControl/>
        <w:spacing w:line="500" w:lineRule="exact"/>
        <w:ind w:firstLine="420"/>
        <w:jc w:val="left"/>
        <w:rPr>
          <w:rFonts w:ascii="宋体" w:hAnsi="宋体" w:cs="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7.2</w:t>
      </w:r>
      <w:r>
        <w:rPr>
          <w:rFonts w:hint="eastAsia" w:ascii="宋体" w:hAnsi="宋体"/>
          <w:color w:val="auto"/>
          <w:szCs w:val="21"/>
          <w:highlight w:val="none"/>
        </w:rPr>
        <w:t>信用信息查询渠道：中国政府采购网（www.ccgp.gov.cn）、“信用中国”网站（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highlight w:val="none"/>
        </w:rPr>
        <w:t>www.creditchina.gov.cn</w:t>
      </w:r>
      <w:r>
        <w:rPr>
          <w:rFonts w:hint="eastAsia"/>
          <w:color w:val="auto"/>
          <w:highlight w:val="none"/>
        </w:rPr>
        <w:fldChar w:fldCharType="end"/>
      </w:r>
      <w:r>
        <w:rPr>
          <w:rFonts w:hint="eastAsia" w:ascii="宋体" w:hAnsi="宋体"/>
          <w:color w:val="auto"/>
          <w:szCs w:val="21"/>
          <w:highlight w:val="none"/>
        </w:rPr>
        <w:t>）。</w:t>
      </w:r>
    </w:p>
    <w:p w14:paraId="613E6EE0">
      <w:pPr>
        <w:spacing w:line="480" w:lineRule="exact"/>
        <w:ind w:firstLine="420" w:firstLineChars="200"/>
        <w:rPr>
          <w:rFonts w:ascii="宋体"/>
          <w:color w:val="auto"/>
          <w:szCs w:val="21"/>
          <w:highlight w:val="none"/>
          <w:lang w:val="zh-CN"/>
        </w:rPr>
      </w:pPr>
      <w:r>
        <w:rPr>
          <w:rFonts w:hint="eastAsia" w:ascii="宋体" w:hAnsi="宋体"/>
          <w:color w:val="auto"/>
          <w:szCs w:val="21"/>
          <w:highlight w:val="none"/>
        </w:rPr>
        <w:t>磋商小组应当对通过失信核查的供应商根据综合评分情况，按照评审得分由高到低顺序推荐</w:t>
      </w:r>
      <w:r>
        <w:rPr>
          <w:rFonts w:ascii="宋体" w:hAnsi="宋体"/>
          <w:color w:val="auto"/>
          <w:szCs w:val="21"/>
          <w:highlight w:val="none"/>
        </w:rPr>
        <w:t>3</w:t>
      </w:r>
      <w:r>
        <w:rPr>
          <w:rFonts w:hint="eastAsia" w:ascii="宋体" w:hAnsi="宋体"/>
          <w:color w:val="auto"/>
          <w:szCs w:val="21"/>
          <w:highlight w:val="none"/>
        </w:rPr>
        <w:t>名成交候选供应商，并编写评审报告。评审得分相同的，按照最后报价由低到高的顺序推荐；评审得分且最后报价相同的，按照技术指标优劣顺序推荐；评审总分、最后报价、技术指标优劣均相同的，采用采购人摇号方式确定成交候选人排序。</w:t>
      </w:r>
    </w:p>
    <w:p w14:paraId="35BD19C5">
      <w:pPr>
        <w:spacing w:line="360" w:lineRule="auto"/>
        <w:ind w:firstLine="413" w:firstLineChars="196"/>
        <w:outlineLvl w:val="3"/>
        <w:rPr>
          <w:rFonts w:asci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8、开标评标异常情况处理</w:t>
      </w:r>
    </w:p>
    <w:p w14:paraId="511C9FBF">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8</w:t>
      </w:r>
      <w:r>
        <w:rPr>
          <w:rFonts w:ascii="宋体" w:hAnsi="宋体" w:cs="宋体"/>
          <w:color w:val="auto"/>
          <w:szCs w:val="21"/>
          <w:highlight w:val="none"/>
        </w:rPr>
        <w:t>.1</w:t>
      </w:r>
      <w:r>
        <w:rPr>
          <w:rFonts w:hint="eastAsia" w:ascii="宋体" w:hAnsi="宋体" w:cs="宋体"/>
          <w:color w:val="auto"/>
          <w:szCs w:val="21"/>
          <w:highlight w:val="none"/>
        </w:rPr>
        <w:t>、在磋商采购中，出现下列情况之一的，应予废标，采购单位重新组织采购：</w:t>
      </w:r>
    </w:p>
    <w:p w14:paraId="4C490AA1">
      <w:pPr>
        <w:spacing w:line="360" w:lineRule="auto"/>
        <w:ind w:firstLine="420" w:firstLineChars="200"/>
        <w:rPr>
          <w:rFonts w:ascii="宋体" w:cs="宋体"/>
          <w:color w:val="auto"/>
          <w:szCs w:val="21"/>
          <w:highlight w:val="none"/>
        </w:rPr>
      </w:pPr>
      <w:r>
        <w:rPr>
          <w:rFonts w:ascii="宋体" w:hAnsi="宋体" w:cs="宋体"/>
          <w:color w:val="auto"/>
          <w:szCs w:val="21"/>
          <w:highlight w:val="none"/>
        </w:rPr>
        <w:t xml:space="preserve">(1) </w:t>
      </w:r>
      <w:r>
        <w:rPr>
          <w:rFonts w:hint="eastAsia" w:ascii="宋体" w:hAnsi="宋体" w:cs="宋体"/>
          <w:color w:val="auto"/>
          <w:szCs w:val="21"/>
          <w:highlight w:val="none"/>
        </w:rPr>
        <w:t>符合专业条件的供应商或者对磋商文件作实质响应的供应商不足三家的；</w:t>
      </w:r>
    </w:p>
    <w:p w14:paraId="33B3A8E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(2)</w:t>
      </w:r>
      <w:r>
        <w:rPr>
          <w:rFonts w:ascii="宋体" w:hAnsi="宋体" w:cs="宋体"/>
          <w:color w:val="auto"/>
          <w:szCs w:val="21"/>
          <w:highlight w:val="none"/>
        </w:rPr>
        <w:tab/>
      </w:r>
      <w:r>
        <w:rPr>
          <w:rFonts w:hint="eastAsia" w:ascii="宋体" w:hAnsi="宋体" w:cs="宋体"/>
          <w:color w:val="auto"/>
          <w:szCs w:val="21"/>
          <w:highlight w:val="none"/>
        </w:rPr>
        <w:t>出现影响采购公正的违法、违规行为的；</w:t>
      </w:r>
    </w:p>
    <w:p w14:paraId="11013BD5">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ascii="宋体" w:hAnsi="宋体" w:cs="宋体"/>
          <w:color w:val="auto"/>
          <w:szCs w:val="21"/>
          <w:highlight w:val="none"/>
        </w:rPr>
        <w:tab/>
      </w:r>
      <w:r>
        <w:rPr>
          <w:rFonts w:hint="eastAsia" w:ascii="宋体" w:hAnsi="宋体" w:cs="宋体"/>
          <w:color w:val="auto"/>
          <w:szCs w:val="21"/>
          <w:highlight w:val="none"/>
        </w:rPr>
        <w:t>供应商的报价均超过了最高磋商限价，采购人不能支付的；</w:t>
      </w:r>
    </w:p>
    <w:p w14:paraId="15507FC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ascii="宋体" w:hAnsi="宋体" w:cs="宋体"/>
          <w:color w:val="auto"/>
          <w:szCs w:val="21"/>
          <w:highlight w:val="none"/>
        </w:rPr>
        <w:tab/>
      </w:r>
      <w:r>
        <w:rPr>
          <w:rFonts w:hint="eastAsia" w:ascii="宋体" w:hAnsi="宋体" w:cs="宋体"/>
          <w:color w:val="auto"/>
          <w:szCs w:val="21"/>
          <w:highlight w:val="none"/>
        </w:rPr>
        <w:t>因重大变故，采购任务取消的。</w:t>
      </w:r>
    </w:p>
    <w:p w14:paraId="1D046FAD">
      <w:pPr>
        <w:spacing w:line="360" w:lineRule="auto"/>
        <w:ind w:firstLine="420" w:firstLineChars="200"/>
        <w:rPr>
          <w:rFonts w:ascii="宋体" w:cs="宋体"/>
          <w:color w:val="auto"/>
          <w:szCs w:val="21"/>
          <w:highlight w:val="none"/>
        </w:rPr>
      </w:pPr>
      <w:r>
        <w:rPr>
          <w:rFonts w:hint="eastAsia" w:ascii="宋体" w:hAnsi="宋体"/>
          <w:color w:val="auto"/>
          <w:szCs w:val="21"/>
          <w:highlight w:val="none"/>
        </w:rPr>
        <w:t>28.2、供应商的响应文件创建标识码、文件制作机器码任一项一致的将不予通过符合性评审，</w:t>
      </w:r>
      <w:r>
        <w:rPr>
          <w:rFonts w:ascii="宋体" w:hAnsi="宋体" w:cs="宋体"/>
          <w:color w:val="auto"/>
          <w:kern w:val="0"/>
          <w:szCs w:val="21"/>
          <w:highlight w:val="none"/>
        </w:rPr>
        <w:t>并予以披露，记入不良行为记录</w:t>
      </w:r>
      <w:r>
        <w:rPr>
          <w:rFonts w:hint="eastAsia" w:ascii="宋体" w:hAnsi="宋体" w:cs="宋体"/>
          <w:color w:val="auto"/>
          <w:kern w:val="0"/>
          <w:szCs w:val="21"/>
          <w:highlight w:val="none"/>
        </w:rPr>
        <w:t>。</w:t>
      </w:r>
    </w:p>
    <w:p w14:paraId="4648CAD7">
      <w:pPr>
        <w:spacing w:line="360" w:lineRule="auto"/>
        <w:ind w:firstLine="422" w:firstLineChars="200"/>
        <w:outlineLvl w:val="3"/>
        <w:rPr>
          <w:rFonts w:ascii="宋体" w:cs="宋体"/>
          <w:b/>
          <w:color w:val="auto"/>
          <w:szCs w:val="21"/>
          <w:highlight w:val="none"/>
        </w:rPr>
      </w:pPr>
      <w:r>
        <w:rPr>
          <w:rFonts w:hint="eastAsia" w:ascii="宋体" w:hAnsi="宋体" w:cs="宋体"/>
          <w:b/>
          <w:color w:val="auto"/>
          <w:szCs w:val="21"/>
          <w:highlight w:val="none"/>
        </w:rPr>
        <w:t>29、评标过程的保密性</w:t>
      </w:r>
    </w:p>
    <w:p w14:paraId="614026EF">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.1</w:t>
      </w:r>
      <w:r>
        <w:rPr>
          <w:rFonts w:hint="eastAsia" w:ascii="宋体" w:hAnsi="宋体" w:cs="宋体"/>
          <w:color w:val="auto"/>
          <w:szCs w:val="21"/>
          <w:highlight w:val="none"/>
        </w:rPr>
        <w:t>、磋商后，直到授予成交人合同止，凡是与响应文件审查、澄清、评价、比较以及授标建议等评审方面的情况，均不得向供应商或其他无关的人员透露。</w:t>
      </w:r>
    </w:p>
    <w:p w14:paraId="16088186">
      <w:pPr>
        <w:spacing w:line="360" w:lineRule="auto"/>
        <w:ind w:firstLine="420" w:firstLineChars="200"/>
        <w:rPr>
          <w:rFonts w:asci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.2</w:t>
      </w:r>
      <w:r>
        <w:rPr>
          <w:rFonts w:hint="eastAsia" w:ascii="宋体" w:hAnsi="宋体" w:cs="宋体"/>
          <w:color w:val="auto"/>
          <w:szCs w:val="21"/>
          <w:highlight w:val="none"/>
        </w:rPr>
        <w:t>、在评标过程中，供应商如向磋商小组成员施加任何影响，都将会导致其响应文件被拒绝。</w:t>
      </w:r>
    </w:p>
    <w:p w14:paraId="64E41CCD">
      <w:pPr>
        <w:spacing w:line="360" w:lineRule="auto"/>
        <w:ind w:firstLine="420" w:firstLineChars="200"/>
        <w:rPr>
          <w:rFonts w:ascii="宋体" w:cs="宋体"/>
          <w:color w:val="auto"/>
          <w:szCs w:val="21"/>
          <w:highlight w:val="none"/>
        </w:rPr>
      </w:pPr>
      <w:bookmarkStart w:id="192" w:name="_Toc23618"/>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、成交人确定后，采购单位不对未成交人就评标过程及未能成交原因做出任何解释。未成交人不得向磋商小组组成人员或其他有关人员询问评标过程的情况和要求提供材料。</w:t>
      </w:r>
      <w:bookmarkEnd w:id="192"/>
    </w:p>
    <w:p w14:paraId="5A90D1E4">
      <w:pPr>
        <w:spacing w:line="360" w:lineRule="auto"/>
        <w:ind w:firstLine="420" w:firstLineChars="200"/>
        <w:outlineLvl w:val="4"/>
        <w:rPr>
          <w:rFonts w:ascii="宋体" w:hAnsi="宋体" w:cs="宋体"/>
          <w:color w:val="auto"/>
          <w:szCs w:val="21"/>
          <w:highlight w:val="none"/>
        </w:rPr>
      </w:pPr>
      <w:bookmarkStart w:id="193" w:name="_Toc476584427"/>
      <w:bookmarkStart w:id="194" w:name="_Toc13514"/>
      <w:r>
        <w:rPr>
          <w:rFonts w:hint="eastAsia" w:ascii="宋体" w:hAnsi="宋体" w:cs="宋体"/>
          <w:color w:val="auto"/>
          <w:highlight w:val="none"/>
        </w:rPr>
        <w:t>2</w:t>
      </w:r>
      <w:r>
        <w:rPr>
          <w:rFonts w:hint="eastAsia" w:ascii="宋体" w:hAnsi="宋体" w:cs="宋体"/>
          <w:color w:val="auto"/>
          <w:szCs w:val="21"/>
          <w:highlight w:val="none"/>
        </w:rPr>
        <w:t>9</w:t>
      </w:r>
      <w:r>
        <w:rPr>
          <w:rFonts w:ascii="宋体" w:hAnsi="宋体" w:cs="宋体"/>
          <w:color w:val="auto"/>
          <w:szCs w:val="21"/>
          <w:highlight w:val="none"/>
        </w:rPr>
        <w:t>.4</w:t>
      </w:r>
      <w:r>
        <w:rPr>
          <w:rFonts w:hint="eastAsia" w:ascii="宋体" w:hAnsi="宋体" w:cs="宋体"/>
          <w:color w:val="auto"/>
          <w:szCs w:val="21"/>
          <w:highlight w:val="none"/>
        </w:rPr>
        <w:t>、服务费</w:t>
      </w:r>
      <w:bookmarkEnd w:id="193"/>
      <w:bookmarkEnd w:id="194"/>
      <w:r>
        <w:rPr>
          <w:rFonts w:hint="eastAsia" w:ascii="宋体" w:hAnsi="宋体" w:cs="宋体"/>
          <w:color w:val="auto"/>
          <w:szCs w:val="21"/>
          <w:highlight w:val="none"/>
        </w:rPr>
        <w:t>：（根据具体项目）</w:t>
      </w:r>
    </w:p>
    <w:p w14:paraId="2A7D98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中标人应在收到缴费通知后三日内按招标文件要求缴纳服务费，完成缴费后请</w:t>
      </w:r>
      <w:r>
        <w:rPr>
          <w:rFonts w:ascii="宋体" w:hAnsi="宋体" w:cs="宋体"/>
          <w:color w:val="auto"/>
          <w:szCs w:val="21"/>
          <w:highlight w:val="none"/>
        </w:rPr>
        <w:t>在</w:t>
      </w:r>
      <w:r>
        <w:rPr>
          <w:rFonts w:hint="eastAsia" w:ascii="宋体" w:hAnsi="宋体" w:cs="宋体"/>
          <w:color w:val="auto"/>
          <w:szCs w:val="21"/>
          <w:highlight w:val="none"/>
        </w:rPr>
        <w:t>7</w:t>
      </w:r>
      <w:r>
        <w:rPr>
          <w:rFonts w:ascii="宋体" w:hAnsi="宋体" w:cs="宋体"/>
          <w:color w:val="auto"/>
          <w:szCs w:val="21"/>
          <w:highlight w:val="none"/>
        </w:rPr>
        <w:t>个工作日内前来开具增值税发票，逾期按普票开具，不再开具专票。</w:t>
      </w:r>
    </w:p>
    <w:p w14:paraId="1C336C5F">
      <w:pPr>
        <w:outlineLvl w:val="4"/>
        <w:rPr>
          <w:rFonts w:cs="宋体"/>
          <w:color w:val="auto"/>
          <w:highlight w:val="none"/>
        </w:rPr>
      </w:pPr>
      <w:bookmarkStart w:id="195" w:name="_Toc418517858"/>
      <w:bookmarkStart w:id="196" w:name="_Toc26993"/>
      <w:bookmarkStart w:id="197" w:name="_Toc3764"/>
      <w:bookmarkStart w:id="198" w:name="_Toc15032"/>
      <w:bookmarkStart w:id="199" w:name="_Toc417655921"/>
      <w:r>
        <w:rPr>
          <w:rFonts w:cs="宋体"/>
          <w:color w:val="auto"/>
          <w:highlight w:val="none"/>
        </w:rPr>
        <w:t xml:space="preserve">    </w:t>
      </w:r>
      <w:bookmarkStart w:id="200" w:name="_Toc21769"/>
      <w:bookmarkStart w:id="201" w:name="_Toc15512"/>
      <w:bookmarkStart w:id="202" w:name="_Toc2498"/>
      <w:bookmarkStart w:id="203" w:name="_Toc6762"/>
      <w:bookmarkStart w:id="204" w:name="_Toc4638"/>
      <w:bookmarkStart w:id="205" w:name="_Toc10691"/>
      <w:bookmarkStart w:id="206" w:name="_Toc476584428"/>
      <w:r>
        <w:rPr>
          <w:rFonts w:hint="eastAsia" w:cs="宋体"/>
          <w:color w:val="auto"/>
          <w:highlight w:val="none"/>
        </w:rPr>
        <w:t>29</w:t>
      </w:r>
      <w:r>
        <w:rPr>
          <w:rFonts w:cs="宋体"/>
          <w:color w:val="auto"/>
          <w:highlight w:val="none"/>
        </w:rPr>
        <w:t>.5</w:t>
      </w:r>
      <w:r>
        <w:rPr>
          <w:rFonts w:hint="eastAsia" w:cs="宋体"/>
          <w:color w:val="auto"/>
          <w:highlight w:val="none"/>
        </w:rPr>
        <w:t>、成交通知书</w:t>
      </w:r>
      <w:bookmarkEnd w:id="195"/>
      <w:bookmarkEnd w:id="196"/>
      <w:bookmarkEnd w:id="197"/>
      <w:bookmarkEnd w:id="198"/>
      <w:bookmarkEnd w:id="199"/>
      <w:bookmarkEnd w:id="200"/>
      <w:bookmarkEnd w:id="201"/>
      <w:bookmarkEnd w:id="202"/>
      <w:bookmarkEnd w:id="203"/>
      <w:bookmarkEnd w:id="204"/>
      <w:bookmarkEnd w:id="205"/>
      <w:bookmarkEnd w:id="206"/>
    </w:p>
    <w:p w14:paraId="1B6DE363">
      <w:pPr>
        <w:pStyle w:val="55"/>
        <w:widowControl w:val="0"/>
        <w:spacing w:before="0" w:beforeAutospacing="0" w:after="0" w:afterAutospacing="0" w:line="400" w:lineRule="exact"/>
        <w:ind w:firstLine="420" w:firstLineChars="200"/>
        <w:rPr>
          <w:rFonts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采购人在评审报告推荐的成交候选人中按顺序确定成交人。采购人将向成交人发出成交通知书，并在</w:t>
      </w:r>
      <w:r>
        <w:rPr>
          <w:rFonts w:hint="eastAsia" w:ascii="宋体" w:hAnsi="宋体" w:eastAsia="宋体" w:cs="Times New Roman"/>
          <w:color w:val="auto"/>
          <w:kern w:val="2"/>
          <w:sz w:val="21"/>
          <w:szCs w:val="21"/>
          <w:highlight w:val="none"/>
          <w:lang w:eastAsia="zh-CN"/>
        </w:rPr>
        <w:t>安徽泰杰工程咨询有限公司网站和潜山市中医院网站</w:t>
      </w:r>
      <w:r>
        <w:rPr>
          <w:rFonts w:hint="eastAsia" w:ascii="宋体" w:hAnsi="宋体" w:eastAsia="宋体" w:cs="Times New Roman"/>
          <w:color w:val="auto"/>
          <w:kern w:val="2"/>
          <w:sz w:val="21"/>
          <w:szCs w:val="21"/>
          <w:highlight w:val="none"/>
        </w:rPr>
        <w:t>、安庆市政府采购网、安庆市政府信息公开网、安徽省政府采购网、安徽省招标投标信息网上公告成交结果。供应商如有质疑、投诉，必须在成交公告约定的质疑、投诉期内以书面形式向有关机构提出。</w:t>
      </w:r>
    </w:p>
    <w:p w14:paraId="55871CA9">
      <w:pPr>
        <w:spacing w:line="500" w:lineRule="exact"/>
        <w:ind w:firstLine="420"/>
        <w:jc w:val="left"/>
        <w:rPr>
          <w:rFonts w:ascii="宋体"/>
          <w:color w:val="auto"/>
          <w:szCs w:val="21"/>
          <w:highlight w:val="none"/>
        </w:rPr>
      </w:pPr>
      <w:r>
        <w:rPr>
          <w:rFonts w:hint="eastAsia" w:ascii="宋体" w:hAnsi="宋体"/>
          <w:color w:val="auto"/>
          <w:szCs w:val="21"/>
          <w:highlight w:val="none"/>
        </w:rPr>
        <w:t>29</w:t>
      </w:r>
      <w:r>
        <w:rPr>
          <w:rFonts w:ascii="宋体" w:hAnsi="宋体"/>
          <w:color w:val="auto"/>
          <w:szCs w:val="21"/>
          <w:highlight w:val="none"/>
        </w:rPr>
        <w:t>.6</w:t>
      </w:r>
      <w:r>
        <w:rPr>
          <w:rFonts w:hint="eastAsia" w:ascii="宋体" w:hAnsi="宋体"/>
          <w:color w:val="auto"/>
          <w:szCs w:val="21"/>
          <w:highlight w:val="none"/>
        </w:rPr>
        <w:t>、根据相关规定，对中标或成交结果提出质疑的，为中标或成交结果公告期限届满之日起七个工作日内以书面形式向采购人提出。建议在成交公告质疑期满（无异议）后，采购人与成交人签订采购合同。</w:t>
      </w:r>
    </w:p>
    <w:p w14:paraId="1D08BAE9">
      <w:pPr>
        <w:spacing w:line="500" w:lineRule="exact"/>
        <w:ind w:firstLine="420"/>
        <w:jc w:val="left"/>
        <w:outlineLvl w:val="2"/>
        <w:rPr>
          <w:rFonts w:ascii="宋体"/>
          <w:b/>
          <w:bCs/>
          <w:color w:val="auto"/>
          <w:szCs w:val="21"/>
          <w:highlight w:val="none"/>
        </w:rPr>
      </w:pPr>
      <w:bookmarkStart w:id="207" w:name="_Toc10505"/>
      <w:bookmarkStart w:id="208" w:name="_Toc19286"/>
      <w:bookmarkStart w:id="209" w:name="_Toc13981"/>
      <w:bookmarkStart w:id="210" w:name="_Toc12373"/>
      <w:r>
        <w:rPr>
          <w:rFonts w:hint="eastAsia" w:ascii="宋体" w:hAnsi="宋体"/>
          <w:b/>
          <w:bCs/>
          <w:color w:val="auto"/>
          <w:szCs w:val="21"/>
          <w:highlight w:val="none"/>
        </w:rPr>
        <w:t>七、合同授予</w:t>
      </w:r>
      <w:bookmarkEnd w:id="207"/>
      <w:bookmarkEnd w:id="208"/>
      <w:bookmarkEnd w:id="209"/>
      <w:bookmarkEnd w:id="210"/>
    </w:p>
    <w:p w14:paraId="3749C669">
      <w:pPr>
        <w:pStyle w:val="8"/>
        <w:spacing w:line="360" w:lineRule="auto"/>
        <w:ind w:firstLine="411" w:firstLineChars="196"/>
        <w:outlineLvl w:val="3"/>
        <w:rPr>
          <w:rFonts w:cs="宋体"/>
          <w:b w:val="0"/>
          <w:bCs/>
          <w:color w:val="auto"/>
          <w:highlight w:val="none"/>
        </w:rPr>
      </w:pPr>
      <w:bookmarkStart w:id="211" w:name="_Toc18179"/>
      <w:bookmarkStart w:id="212" w:name="_Toc28577"/>
      <w:bookmarkStart w:id="213" w:name="_Toc3632"/>
      <w:bookmarkStart w:id="214" w:name="_Toc418517860"/>
      <w:bookmarkStart w:id="215" w:name="_Toc24860"/>
      <w:bookmarkStart w:id="216" w:name="_Toc417655923"/>
      <w:bookmarkStart w:id="217" w:name="_Toc21358"/>
      <w:bookmarkStart w:id="218" w:name="_Toc16466"/>
      <w:bookmarkStart w:id="219" w:name="_Toc32716"/>
      <w:bookmarkStart w:id="220" w:name="_Toc15562"/>
      <w:bookmarkStart w:id="221" w:name="_Toc22183"/>
      <w:bookmarkStart w:id="222" w:name="_Toc3930"/>
      <w:bookmarkStart w:id="223" w:name="_Toc476584429"/>
      <w:r>
        <w:rPr>
          <w:rFonts w:cs="宋体"/>
          <w:b w:val="0"/>
          <w:bCs/>
          <w:color w:val="auto"/>
          <w:highlight w:val="none"/>
        </w:rPr>
        <w:t>3</w:t>
      </w:r>
      <w:r>
        <w:rPr>
          <w:rFonts w:hint="eastAsia" w:cs="宋体"/>
          <w:b w:val="0"/>
          <w:bCs/>
          <w:color w:val="auto"/>
          <w:highlight w:val="none"/>
        </w:rPr>
        <w:t>0、签订合同</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291ABB07">
      <w:pPr>
        <w:spacing w:line="360" w:lineRule="auto"/>
        <w:ind w:firstLine="420" w:firstLineChars="200"/>
        <w:outlineLvl w:val="4"/>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、成交人的成交价即为合同价款。</w:t>
      </w:r>
    </w:p>
    <w:p w14:paraId="3C1D25B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、成交人在收到成交通知书起</w:t>
      </w:r>
      <w:r>
        <w:rPr>
          <w:rFonts w:ascii="宋体" w:hAnsi="宋体" w:cs="宋体"/>
          <w:color w:val="auto"/>
          <w:szCs w:val="21"/>
          <w:highlight w:val="none"/>
        </w:rPr>
        <w:t>30</w:t>
      </w:r>
      <w:r>
        <w:rPr>
          <w:rFonts w:hint="eastAsia" w:ascii="宋体" w:hAnsi="宋体" w:cs="宋体"/>
          <w:color w:val="auto"/>
          <w:szCs w:val="21"/>
          <w:highlight w:val="none"/>
        </w:rPr>
        <w:t>天内，与采购人签订合同。采购人应在合同签订后</w:t>
      </w:r>
      <w:r>
        <w:rPr>
          <w:rFonts w:ascii="宋体" w:hAnsi="宋体" w:cs="宋体"/>
          <w:color w:val="auto"/>
          <w:szCs w:val="21"/>
          <w:highlight w:val="none"/>
        </w:rPr>
        <w:t>7</w:t>
      </w:r>
      <w:r>
        <w:rPr>
          <w:rFonts w:hint="eastAsia" w:ascii="宋体" w:hAnsi="宋体" w:cs="宋体"/>
          <w:color w:val="auto"/>
          <w:szCs w:val="21"/>
          <w:highlight w:val="none"/>
        </w:rPr>
        <w:t>个工作日内将所有合同报安庆市公共资源交易监督管理局备案。</w:t>
      </w:r>
    </w:p>
    <w:p w14:paraId="635AA94E">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w:t>
      </w:r>
      <w:r>
        <w:rPr>
          <w:rFonts w:ascii="宋体" w:hAnsi="宋体" w:cs="宋体"/>
          <w:color w:val="auto"/>
          <w:szCs w:val="21"/>
          <w:highlight w:val="none"/>
        </w:rPr>
        <w:t>.</w:t>
      </w:r>
      <w:r>
        <w:rPr>
          <w:rFonts w:hint="eastAsia" w:ascii="宋体" w:hAnsi="宋体" w:cs="宋体"/>
          <w:color w:val="auto"/>
          <w:szCs w:val="21"/>
          <w:highlight w:val="none"/>
        </w:rPr>
        <w:t>1</w:t>
      </w:r>
      <w:r>
        <w:rPr>
          <w:rFonts w:ascii="宋体" w:hAnsi="宋体" w:cs="宋体"/>
          <w:color w:val="auto"/>
          <w:szCs w:val="21"/>
          <w:highlight w:val="none"/>
        </w:rPr>
        <w:t>.3</w:t>
      </w:r>
      <w:r>
        <w:rPr>
          <w:rFonts w:hint="eastAsia" w:ascii="宋体" w:hAnsi="宋体" w:cs="宋体"/>
          <w:color w:val="auto"/>
          <w:szCs w:val="21"/>
          <w:highlight w:val="none"/>
        </w:rPr>
        <w:t>、</w:t>
      </w:r>
      <w:r>
        <w:rPr>
          <w:rFonts w:hint="eastAsia" w:ascii="宋体" w:hAnsi="宋体"/>
          <w:color w:val="auto"/>
          <w:szCs w:val="21"/>
          <w:highlight w:val="none"/>
        </w:rPr>
        <w:t>成交人拒绝与采购人签订合同的，采购人可以按照评审报告推荐的成交候选人名单排序，确定下一候选人为成交人，也可以重新开展政府采购活动。</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70331CDC">
      <w:pPr>
        <w:widowControl/>
        <w:spacing w:line="360" w:lineRule="auto"/>
        <w:jc w:val="left"/>
        <w:rPr>
          <w:rFonts w:hAnsi="宋体" w:cs="宋体"/>
          <w:color w:val="auto"/>
          <w:szCs w:val="21"/>
          <w:highlight w:val="none"/>
        </w:rPr>
      </w:pPr>
      <w:r>
        <w:rPr>
          <w:rFonts w:ascii="宋体" w:hAnsi="宋体" w:cs="宋体"/>
          <w:color w:val="auto"/>
          <w:szCs w:val="21"/>
          <w:highlight w:val="none"/>
        </w:rPr>
        <w:t xml:space="preserve">    </w:t>
      </w:r>
      <w:r>
        <w:rPr>
          <w:rFonts w:ascii="宋体" w:hAnsi="宋体"/>
          <w:color w:val="auto"/>
          <w:szCs w:val="21"/>
          <w:highlight w:val="none"/>
        </w:rPr>
        <w:t>3</w:t>
      </w:r>
      <w:r>
        <w:rPr>
          <w:rFonts w:hint="eastAsia" w:ascii="宋体" w:hAnsi="宋体"/>
          <w:color w:val="auto"/>
          <w:szCs w:val="21"/>
          <w:highlight w:val="none"/>
        </w:rPr>
        <w:t>0</w:t>
      </w:r>
      <w:r>
        <w:rPr>
          <w:rFonts w:ascii="宋体" w:hAnsi="宋体"/>
          <w:color w:val="auto"/>
          <w:szCs w:val="21"/>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4</w:t>
      </w:r>
      <w:r>
        <w:rPr>
          <w:rFonts w:hint="eastAsia" w:hAnsi="宋体"/>
          <w:bCs/>
          <w:color w:val="auto"/>
          <w:szCs w:val="21"/>
          <w:highlight w:val="none"/>
        </w:rPr>
        <w:t>采购单位对在市公管局完成备案的项目合同在安庆市政府采购网、</w:t>
      </w:r>
      <w:r>
        <w:rPr>
          <w:rFonts w:hint="eastAsia" w:hAnsi="宋体"/>
          <w:bCs/>
          <w:color w:val="auto"/>
          <w:szCs w:val="21"/>
          <w:highlight w:val="none"/>
          <w:lang w:eastAsia="zh-CN"/>
        </w:rPr>
        <w:t>安徽泰杰工程咨询有限公司网站和潜山市中医院网站</w:t>
      </w:r>
      <w:r>
        <w:rPr>
          <w:rFonts w:hint="eastAsia" w:hAnsi="宋体"/>
          <w:bCs/>
          <w:color w:val="auto"/>
          <w:szCs w:val="21"/>
          <w:highlight w:val="none"/>
        </w:rPr>
        <w:t>、</w:t>
      </w:r>
      <w:r>
        <w:rPr>
          <w:rFonts w:hint="eastAsia"/>
          <w:color w:val="auto"/>
          <w:szCs w:val="21"/>
          <w:highlight w:val="none"/>
        </w:rPr>
        <w:t>安庆市政府信息公开网</w:t>
      </w:r>
      <w:r>
        <w:rPr>
          <w:rFonts w:hint="eastAsia" w:hAnsi="宋体"/>
          <w:bCs/>
          <w:color w:val="auto"/>
          <w:szCs w:val="21"/>
          <w:highlight w:val="none"/>
        </w:rPr>
        <w:t>等网站进行公告。为遵守保密规定，对涉及国家秘密和商业秘密而不应公示的内容，</w:t>
      </w:r>
      <w:r>
        <w:rPr>
          <w:rFonts w:hint="eastAsia" w:ascii="宋体" w:hAnsi="宋体"/>
          <w:color w:val="auto"/>
          <w:szCs w:val="21"/>
          <w:highlight w:val="none"/>
        </w:rPr>
        <w:t>采购人应当在提交采购合同到市公管局备案的同时，向安庆市公共资源交易中心提供市财政局书面同意不予公告的相关证明</w:t>
      </w:r>
      <w:r>
        <w:rPr>
          <w:rFonts w:hint="eastAsia" w:ascii="宋体" w:hAnsi="宋体" w:cs="宋体"/>
          <w:color w:val="auto"/>
          <w:szCs w:val="21"/>
          <w:highlight w:val="none"/>
        </w:rPr>
        <w:t>，</w:t>
      </w:r>
      <w:r>
        <w:rPr>
          <w:rFonts w:hint="eastAsia" w:ascii="宋体" w:hAnsi="宋体"/>
          <w:color w:val="auto"/>
          <w:szCs w:val="21"/>
          <w:highlight w:val="none"/>
        </w:rPr>
        <w:t>否则视为采购人委托安庆市公共资源交易中心将采购合同依法进行公告。</w:t>
      </w:r>
    </w:p>
    <w:p w14:paraId="319FA76E">
      <w:pPr>
        <w:spacing w:line="360" w:lineRule="auto"/>
        <w:ind w:firstLine="422" w:firstLineChars="200"/>
        <w:outlineLvl w:val="3"/>
        <w:rPr>
          <w:rFonts w:ascii="宋体" w:cs="宋体"/>
          <w:b/>
          <w:color w:val="auto"/>
          <w:szCs w:val="21"/>
          <w:highlight w:val="none"/>
        </w:rPr>
      </w:pPr>
      <w:r>
        <w:rPr>
          <w:rFonts w:ascii="宋体" w:hAnsi="宋体" w:cs="宋体"/>
          <w:b/>
          <w:color w:val="auto"/>
          <w:szCs w:val="21"/>
          <w:highlight w:val="none"/>
        </w:rPr>
        <w:t>3</w:t>
      </w:r>
      <w:r>
        <w:rPr>
          <w:rFonts w:hint="eastAsia" w:ascii="宋体" w:hAnsi="宋体" w:cs="宋体"/>
          <w:b/>
          <w:color w:val="auto"/>
          <w:szCs w:val="21"/>
          <w:highlight w:val="none"/>
        </w:rPr>
        <w:t>1、履约保证金</w:t>
      </w:r>
    </w:p>
    <w:p w14:paraId="5BC67E6C">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、成交人在签订合同前必须按磋商文件的约定，及时、足额向采购人提交履约保证金。</w:t>
      </w:r>
    </w:p>
    <w:p w14:paraId="0AAE33AD">
      <w:pPr>
        <w:spacing w:line="360" w:lineRule="auto"/>
        <w:ind w:firstLine="420" w:firstLineChars="200"/>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1</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highlight w:val="none"/>
        </w:rPr>
        <w:t>若成交人不能按须知前附表执行，采购人</w:t>
      </w:r>
      <w:r>
        <w:rPr>
          <w:rFonts w:hint="eastAsia" w:ascii="宋体" w:hAnsi="宋体" w:cs="宋体"/>
          <w:color w:val="auto"/>
          <w:szCs w:val="21"/>
          <w:highlight w:val="none"/>
        </w:rPr>
        <w:t>可在无须征得成交人同意的情况下，</w:t>
      </w:r>
      <w:r>
        <w:rPr>
          <w:rFonts w:hint="eastAsia" w:ascii="宋体" w:hAnsi="宋体" w:cs="宋体"/>
          <w:color w:val="auto"/>
          <w:highlight w:val="none"/>
        </w:rPr>
        <w:t>不与其签订合同，并不予退还磋商保证金。给采购单位造成的损失超过磋商保证金数额的，还应当对超过部分予以赔偿。</w:t>
      </w:r>
    </w:p>
    <w:p w14:paraId="467272DF">
      <w:pPr>
        <w:pStyle w:val="30"/>
        <w:spacing w:line="360" w:lineRule="auto"/>
        <w:ind w:firstLine="420" w:firstLineChars="200"/>
        <w:outlineLvl w:val="4"/>
        <w:rPr>
          <w:rFonts w:hAnsi="宋体" w:cs="宋体"/>
          <w:color w:val="auto"/>
          <w:highlight w:val="none"/>
        </w:rPr>
      </w:pPr>
      <w:r>
        <w:rPr>
          <w:rFonts w:hAnsi="宋体" w:cs="宋体"/>
          <w:color w:val="auto"/>
          <w:highlight w:val="none"/>
        </w:rPr>
        <w:t>3</w:t>
      </w:r>
      <w:r>
        <w:rPr>
          <w:rFonts w:hint="eastAsia" w:hAnsi="宋体" w:cs="宋体"/>
          <w:color w:val="auto"/>
          <w:highlight w:val="none"/>
        </w:rPr>
        <w:t>1</w:t>
      </w:r>
      <w:r>
        <w:rPr>
          <w:rFonts w:hAnsi="宋体" w:cs="宋体"/>
          <w:color w:val="auto"/>
          <w:highlight w:val="none"/>
        </w:rPr>
        <w:t>.3</w:t>
      </w:r>
      <w:r>
        <w:rPr>
          <w:rFonts w:hint="eastAsia" w:hAnsi="宋体" w:cs="宋体"/>
          <w:color w:val="auto"/>
          <w:highlight w:val="none"/>
        </w:rPr>
        <w:t>、履约保证金</w:t>
      </w:r>
      <w:r>
        <w:rPr>
          <w:rFonts w:hint="eastAsia" w:hAnsi="宋体"/>
          <w:color w:val="auto"/>
          <w:highlight w:val="none"/>
        </w:rPr>
        <w:t>按合同条款约定退还</w:t>
      </w:r>
      <w:r>
        <w:rPr>
          <w:rFonts w:hint="eastAsia" w:hAnsi="宋体" w:cs="宋体"/>
          <w:color w:val="auto"/>
          <w:highlight w:val="none"/>
        </w:rPr>
        <w:t>。</w:t>
      </w:r>
    </w:p>
    <w:p w14:paraId="11E99530">
      <w:pPr>
        <w:pStyle w:val="30"/>
        <w:spacing w:line="440" w:lineRule="exact"/>
        <w:ind w:firstLine="422" w:firstLineChars="200"/>
        <w:outlineLvl w:val="3"/>
        <w:rPr>
          <w:rFonts w:hAnsi="宋体" w:cs="宋体"/>
          <w:b/>
          <w:color w:val="auto"/>
          <w:highlight w:val="none"/>
        </w:rPr>
      </w:pPr>
      <w:r>
        <w:rPr>
          <w:rFonts w:hAnsi="宋体" w:cs="宋体"/>
          <w:b/>
          <w:color w:val="auto"/>
          <w:highlight w:val="none"/>
        </w:rPr>
        <w:t>3</w:t>
      </w:r>
      <w:r>
        <w:rPr>
          <w:rFonts w:hint="eastAsia" w:hAnsi="宋体" w:cs="宋体"/>
          <w:b/>
          <w:color w:val="auto"/>
          <w:highlight w:val="none"/>
        </w:rPr>
        <w:t>2、未尽事宜</w:t>
      </w:r>
    </w:p>
    <w:p w14:paraId="367BD0B8">
      <w:pPr>
        <w:pStyle w:val="30"/>
        <w:spacing w:line="440" w:lineRule="exact"/>
        <w:ind w:firstLine="420" w:firstLineChars="200"/>
        <w:rPr>
          <w:rFonts w:hAnsi="宋体" w:cs="宋体"/>
          <w:color w:val="auto"/>
          <w:highlight w:val="none"/>
        </w:rPr>
      </w:pPr>
      <w:r>
        <w:rPr>
          <w:rFonts w:hint="eastAsia" w:hAnsi="宋体" w:cs="宋体"/>
          <w:color w:val="auto"/>
          <w:highlight w:val="none"/>
        </w:rPr>
        <w:t>依据《</w:t>
      </w:r>
      <w:r>
        <w:rPr>
          <w:rFonts w:hint="eastAsia" w:ascii="??" w:hAnsi="??"/>
          <w:bCs/>
          <w:color w:val="auto"/>
          <w:highlight w:val="none"/>
        </w:rPr>
        <w:t>政府采购竞争性磋商采购方式管理暂行办法</w:t>
      </w:r>
      <w:r>
        <w:rPr>
          <w:rFonts w:hint="eastAsia" w:hAnsi="宋体" w:cs="宋体"/>
          <w:color w:val="auto"/>
          <w:highlight w:val="none"/>
        </w:rPr>
        <w:t>》并参照《中华人民共和国政府采购法》、《中华人民共和国政府采购法实施条例》及其他有关法律法规规定执行。</w:t>
      </w:r>
    </w:p>
    <w:p w14:paraId="079F68EE">
      <w:pPr>
        <w:spacing w:line="480" w:lineRule="exact"/>
        <w:rPr>
          <w:rFonts w:ascii="宋体" w:cs="宋体"/>
          <w:b/>
          <w:bCs/>
          <w:snapToGrid w:val="0"/>
          <w:color w:val="auto"/>
          <w:kern w:val="0"/>
          <w:sz w:val="32"/>
          <w:szCs w:val="32"/>
          <w:highlight w:val="none"/>
        </w:rPr>
      </w:pPr>
    </w:p>
    <w:p w14:paraId="6858CAAD">
      <w:pPr>
        <w:spacing w:line="480" w:lineRule="exact"/>
        <w:rPr>
          <w:rFonts w:ascii="宋体" w:cs="宋体"/>
          <w:b/>
          <w:bCs/>
          <w:snapToGrid w:val="0"/>
          <w:color w:val="auto"/>
          <w:kern w:val="0"/>
          <w:sz w:val="32"/>
          <w:szCs w:val="32"/>
          <w:highlight w:val="none"/>
        </w:rPr>
      </w:pPr>
      <w:r>
        <w:rPr>
          <w:rFonts w:ascii="宋体" w:cs="宋体"/>
          <w:b/>
          <w:bCs/>
          <w:snapToGrid w:val="0"/>
          <w:color w:val="auto"/>
          <w:kern w:val="0"/>
          <w:sz w:val="32"/>
          <w:szCs w:val="32"/>
          <w:highlight w:val="none"/>
        </w:rPr>
        <w:br w:type="page"/>
      </w:r>
    </w:p>
    <w:p w14:paraId="78DAA7E8">
      <w:pPr>
        <w:pStyle w:val="2"/>
        <w:spacing w:before="62" w:beforeLines="20" w:after="62" w:afterLines="20" w:line="480" w:lineRule="exact"/>
        <w:ind w:firstLine="0" w:firstLineChars="0"/>
        <w:jc w:val="center"/>
        <w:rPr>
          <w:rFonts w:ascii="Arial" w:hAnsi="Arial"/>
          <w:color w:val="auto"/>
          <w:kern w:val="2"/>
          <w:sz w:val="32"/>
          <w:szCs w:val="32"/>
          <w:highlight w:val="none"/>
          <w:lang w:val="zh-CN"/>
        </w:rPr>
      </w:pPr>
      <w:bookmarkStart w:id="224" w:name="_Toc27269"/>
      <w:bookmarkStart w:id="225" w:name="_Toc25538"/>
      <w:bookmarkStart w:id="226" w:name="_Toc25939"/>
      <w:r>
        <w:rPr>
          <w:rFonts w:hint="eastAsia" w:ascii="Arial" w:hAnsi="Arial"/>
          <w:color w:val="auto"/>
          <w:kern w:val="2"/>
          <w:sz w:val="32"/>
          <w:szCs w:val="32"/>
          <w:highlight w:val="none"/>
        </w:rPr>
        <w:t>第三章</w:t>
      </w:r>
      <w:r>
        <w:rPr>
          <w:rFonts w:ascii="Arial" w:hAnsi="Arial"/>
          <w:color w:val="auto"/>
          <w:kern w:val="2"/>
          <w:sz w:val="32"/>
          <w:szCs w:val="32"/>
          <w:highlight w:val="none"/>
        </w:rPr>
        <w:t xml:space="preserve">  </w:t>
      </w:r>
      <w:bookmarkStart w:id="227" w:name="_Toc439316879"/>
      <w:r>
        <w:rPr>
          <w:rFonts w:ascii="Arial" w:hAnsi="Arial"/>
          <w:color w:val="auto"/>
          <w:kern w:val="2"/>
          <w:sz w:val="32"/>
          <w:szCs w:val="32"/>
          <w:highlight w:val="none"/>
          <w:lang w:val="zh-CN"/>
        </w:rPr>
        <w:t xml:space="preserve">  </w:t>
      </w:r>
      <w:bookmarkEnd w:id="227"/>
      <w:r>
        <w:rPr>
          <w:rFonts w:hint="eastAsia" w:ascii="Arial" w:hAnsi="Arial"/>
          <w:color w:val="auto"/>
          <w:kern w:val="2"/>
          <w:sz w:val="32"/>
          <w:szCs w:val="32"/>
          <w:highlight w:val="none"/>
          <w:lang w:val="zh-CN"/>
        </w:rPr>
        <w:t>服务需求及技术要求</w:t>
      </w:r>
      <w:bookmarkEnd w:id="224"/>
      <w:bookmarkEnd w:id="225"/>
      <w:bookmarkEnd w:id="226"/>
    </w:p>
    <w:p w14:paraId="63778043">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2CCDE4E9">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w:t>
      </w:r>
      <w:r>
        <w:rPr>
          <w:rFonts w:hint="eastAsia" w:ascii="宋体" w:hAnsi="宋体"/>
          <w:b/>
          <w:bCs/>
          <w:color w:val="auto"/>
          <w:szCs w:val="21"/>
          <w:highlight w:val="none"/>
          <w:lang w:eastAsia="zh-CN"/>
        </w:rPr>
        <w:t>磋商文件</w:t>
      </w:r>
      <w:r>
        <w:rPr>
          <w:rFonts w:hint="eastAsia" w:ascii="宋体" w:hAnsi="宋体"/>
          <w:b/>
          <w:bCs/>
          <w:color w:val="auto"/>
          <w:szCs w:val="21"/>
          <w:highlight w:val="none"/>
        </w:rPr>
        <w:t>要求的国内产品参与竞争。未标注进口产品的货物均为拒绝采购进口产品。</w:t>
      </w:r>
    </w:p>
    <w:p w14:paraId="4D092EA4">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7C2606FD">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 节能产品认证机构目录》中的认证机构出具的、处于有效期内的节能产品认证证书。</w:t>
      </w:r>
    </w:p>
    <w:p w14:paraId="0684CF58">
      <w:pPr>
        <w:spacing w:line="360" w:lineRule="auto"/>
        <w:ind w:firstLine="422" w:firstLineChars="200"/>
        <w:rPr>
          <w:color w:val="auto"/>
          <w:highlight w:val="none"/>
        </w:rPr>
      </w:pPr>
      <w:r>
        <w:rPr>
          <w:rFonts w:hint="eastAsia" w:ascii="宋体" w:hAnsi="宋体"/>
          <w:b/>
          <w:bCs/>
          <w:color w:val="auto"/>
          <w:szCs w:val="21"/>
          <w:highlight w:val="none"/>
        </w:rPr>
        <w:t>一、</w:t>
      </w:r>
      <w:r>
        <w:rPr>
          <w:rFonts w:hint="eastAsia" w:ascii="宋体" w:hAnsi="宋体"/>
          <w:b/>
          <w:bCs/>
          <w:color w:val="auto"/>
          <w:szCs w:val="21"/>
          <w:highlight w:val="none"/>
          <w:lang w:eastAsia="zh-CN"/>
        </w:rPr>
        <w:t>商务要求</w:t>
      </w:r>
      <w:r>
        <w:rPr>
          <w:rFonts w:hint="eastAsia" w:ascii="宋体" w:hAnsi="宋体"/>
          <w:b/>
          <w:bCs/>
          <w:color w:val="auto"/>
          <w:szCs w:val="21"/>
          <w:highlight w:val="none"/>
        </w:rPr>
        <w:t>：</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25B8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6E8C3619">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65C40A63">
            <w:pPr>
              <w:pStyle w:val="30"/>
              <w:jc w:val="center"/>
              <w:rPr>
                <w:color w:val="auto"/>
                <w:highlight w:val="none"/>
              </w:rPr>
            </w:pPr>
            <w:r>
              <w:rPr>
                <w:rFonts w:hint="eastAsia" w:asciiTheme="minorEastAsia" w:hAnsiTheme="minorEastAsia"/>
                <w:b/>
                <w:bCs/>
                <w:color w:val="auto"/>
                <w:sz w:val="24"/>
                <w:szCs w:val="24"/>
                <w:highlight w:val="none"/>
              </w:rPr>
              <w:t>条款名称</w:t>
            </w:r>
          </w:p>
        </w:tc>
        <w:tc>
          <w:tcPr>
            <w:tcW w:w="5170" w:type="dxa"/>
            <w:vAlign w:val="center"/>
          </w:tcPr>
          <w:p w14:paraId="6118099A">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2EB9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808" w:type="dxa"/>
            <w:vAlign w:val="center"/>
          </w:tcPr>
          <w:p w14:paraId="6C128CC3">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7BEB6DBE">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7AAD766A">
            <w:pPr>
              <w:spacing w:line="360" w:lineRule="auto"/>
              <w:rPr>
                <w:rFonts w:asciiTheme="minorEastAsia" w:hAnsiTheme="minorEastAsia" w:eastAsiaTheme="minorEastAsia"/>
                <w:color w:val="auto"/>
                <w:sz w:val="24"/>
                <w:highlight w:val="none"/>
              </w:rPr>
            </w:pPr>
            <w:r>
              <w:rPr>
                <w:rFonts w:hint="eastAsia" w:ascii="宋体" w:hAnsi="宋体" w:cs="宋体"/>
                <w:b/>
                <w:bCs/>
                <w:color w:val="auto"/>
                <w:kern w:val="0"/>
                <w:sz w:val="24"/>
                <w:szCs w:val="24"/>
                <w:highlight w:val="none"/>
                <w:lang w:val="en-US" w:eastAsia="zh-CN" w:bidi="ar"/>
              </w:rPr>
              <w:t>全部货物交至指定地点，安装调试并经验收合格后一次性付清。</w:t>
            </w:r>
          </w:p>
        </w:tc>
      </w:tr>
      <w:tr w14:paraId="794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B8D93B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5BBA0C98">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7910FD0A">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采购人指定地点</w:t>
            </w:r>
          </w:p>
        </w:tc>
      </w:tr>
      <w:tr w14:paraId="1296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E67FFEE">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755676C7">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05659FC8">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自合同签订之日起</w:t>
            </w:r>
            <w:r>
              <w:rPr>
                <w:rFonts w:hint="eastAsia" w:asciiTheme="minorEastAsia" w:hAnsiTheme="minorEastAsia" w:eastAsiaTheme="minorEastAsia"/>
                <w:color w:val="auto"/>
                <w:sz w:val="24"/>
                <w:highlight w:val="none"/>
                <w:lang w:val="en-US" w:eastAsia="zh-CN"/>
              </w:rPr>
              <w:t>30日历天</w:t>
            </w:r>
          </w:p>
        </w:tc>
      </w:tr>
      <w:tr w14:paraId="6047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08" w:type="dxa"/>
            <w:vAlign w:val="center"/>
          </w:tcPr>
          <w:p w14:paraId="2A965B78">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24C407D4">
            <w:pPr>
              <w:jc w:val="center"/>
              <w:rPr>
                <w:rFonts w:hint="eastAsia"/>
                <w:color w:val="auto"/>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406FA06D">
            <w:pPr>
              <w:jc w:val="center"/>
              <w:rPr>
                <w:rFonts w:hint="default" w:asciiTheme="minorEastAsia" w:hAnsiTheme="minorEastAsia" w:eastAsiaTheme="minorEastAsia"/>
                <w:color w:val="auto"/>
                <w:sz w:val="24"/>
                <w:highlight w:val="none"/>
                <w:lang w:val="en-US" w:eastAsia="zh-CN"/>
              </w:rPr>
            </w:pPr>
            <w:r>
              <w:rPr>
                <w:rFonts w:hint="eastAsia" w:ascii="宋体" w:hAnsi="宋体" w:cs="宋体"/>
                <w:color w:val="auto"/>
                <w:sz w:val="24"/>
                <w:szCs w:val="24"/>
                <w:highlight w:val="none"/>
                <w:lang w:val="en-US" w:eastAsia="zh-CN"/>
              </w:rPr>
              <w:t>2年</w:t>
            </w:r>
          </w:p>
        </w:tc>
      </w:tr>
      <w:tr w14:paraId="6EFD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5615A6DA">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254E4E85">
            <w:pPr>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商品包装要求</w:t>
            </w:r>
          </w:p>
        </w:tc>
        <w:tc>
          <w:tcPr>
            <w:tcW w:w="5170" w:type="dxa"/>
            <w:vAlign w:val="center"/>
          </w:tcPr>
          <w:p w14:paraId="156FCB9B">
            <w:pPr>
              <w:jc w:val="center"/>
              <w:rPr>
                <w:rFonts w:asciiTheme="minorEastAsia" w:hAnsiTheme="minorEastAsia" w:eastAsiaTheme="minorEastAsia"/>
                <w:color w:val="auto"/>
                <w:sz w:val="24"/>
                <w:highlight w:val="none"/>
              </w:rPr>
            </w:pPr>
            <w:r>
              <w:rPr>
                <w:rFonts w:hint="default" w:ascii="宋体" w:hAnsi="宋体"/>
                <w:color w:val="auto"/>
                <w:sz w:val="24"/>
                <w:highlight w:val="none"/>
                <w:lang w:val="en-US" w:eastAsia="zh-CN"/>
              </w:rPr>
              <w:t>除另有约定外</w:t>
            </w:r>
            <w:r>
              <w:rPr>
                <w:rFonts w:hint="eastAsia" w:ascii="宋体" w:hAnsi="宋体"/>
                <w:color w:val="auto"/>
                <w:sz w:val="24"/>
                <w:highlight w:val="none"/>
                <w:lang w:val="en-US" w:eastAsia="zh-CN"/>
              </w:rPr>
              <w:t>，</w:t>
            </w:r>
            <w:r>
              <w:rPr>
                <w:rFonts w:hint="default" w:ascii="宋体" w:hAnsi="宋体"/>
                <w:color w:val="auto"/>
                <w:sz w:val="24"/>
                <w:highlight w:val="none"/>
                <w:lang w:val="en-US" w:eastAsia="zh-CN"/>
              </w:rPr>
              <w:t>供应商交付全部货物的包装要求</w:t>
            </w:r>
            <w:r>
              <w:rPr>
                <w:rFonts w:hint="eastAsia" w:ascii="宋体" w:hAnsi="宋体"/>
                <w:color w:val="auto"/>
                <w:sz w:val="24"/>
                <w:highlight w:val="none"/>
                <w:lang w:val="en-US" w:eastAsia="zh-CN"/>
              </w:rPr>
              <w:br w:type="textWrapping"/>
            </w:r>
            <w:r>
              <w:rPr>
                <w:rFonts w:hint="default" w:ascii="宋体" w:hAnsi="宋体"/>
                <w:color w:val="auto"/>
                <w:sz w:val="24"/>
                <w:highlight w:val="none"/>
                <w:lang w:val="en-US" w:eastAsia="zh-CN"/>
              </w:rPr>
              <w:t>严格按照国家强制标准执行。</w:t>
            </w:r>
          </w:p>
        </w:tc>
      </w:tr>
    </w:tbl>
    <w:p w14:paraId="4D70E795">
      <w:pPr>
        <w:ind w:firstLine="422" w:firstLineChars="200"/>
        <w:rPr>
          <w:rFonts w:ascii="宋体" w:hAnsi="宋体"/>
          <w:b/>
          <w:bCs/>
          <w:color w:val="auto"/>
          <w:szCs w:val="21"/>
          <w:highlight w:val="none"/>
        </w:rPr>
      </w:pPr>
    </w:p>
    <w:p w14:paraId="641E2A12">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bCs/>
          <w:color w:val="auto"/>
          <w:szCs w:val="24"/>
          <w:highlight w:val="none"/>
          <w:lang w:eastAsia="zh-CN"/>
        </w:rPr>
      </w:pPr>
      <w:bookmarkStart w:id="228" w:name="_Toc26171"/>
      <w:bookmarkStart w:id="229" w:name="_Toc28330"/>
      <w:bookmarkStart w:id="230" w:name="_Toc11401"/>
      <w:bookmarkStart w:id="231" w:name="_Toc6019"/>
      <w:r>
        <w:rPr>
          <w:rFonts w:hint="eastAsia" w:hAnsi="宋体"/>
          <w:bCs/>
          <w:color w:val="auto"/>
          <w:szCs w:val="24"/>
          <w:highlight w:val="none"/>
        </w:rPr>
        <w:t>二、</w:t>
      </w:r>
      <w:r>
        <w:rPr>
          <w:rFonts w:hint="eastAsia"/>
          <w:bCs/>
          <w:color w:val="auto"/>
          <w:szCs w:val="24"/>
          <w:highlight w:val="none"/>
          <w:lang w:eastAsia="zh-CN"/>
        </w:rPr>
        <w:t>项目概况</w:t>
      </w:r>
      <w:bookmarkEnd w:id="228"/>
      <w:bookmarkEnd w:id="229"/>
      <w:bookmarkEnd w:id="230"/>
      <w:bookmarkEnd w:id="231"/>
    </w:p>
    <w:p w14:paraId="1CADA5A4">
      <w:pPr>
        <w:numPr>
          <w:ilvl w:val="0"/>
          <w:numId w:val="0"/>
        </w:numPr>
        <w:spacing w:line="360" w:lineRule="auto"/>
        <w:ind w:left="0" w:leftChars="0" w:firstLine="470" w:firstLineChars="196"/>
        <w:jc w:val="both"/>
        <w:rPr>
          <w:rFonts w:hint="eastAsia" w:ascii="宋体" w:hAnsi="宋体" w:eastAsia="宋体" w:cs="宋体"/>
          <w:color w:val="auto"/>
          <w:sz w:val="24"/>
          <w:highlight w:val="none"/>
          <w:lang w:val="en-US" w:eastAsia="zh-CN"/>
        </w:rPr>
      </w:pPr>
      <w:bookmarkStart w:id="232" w:name="_Toc8977"/>
      <w:r>
        <w:rPr>
          <w:rFonts w:hint="eastAsia" w:ascii="宋体" w:hAnsi="宋体" w:eastAsia="宋体" w:cs="宋体"/>
          <w:color w:val="auto"/>
          <w:sz w:val="24"/>
          <w:highlight w:val="none"/>
          <w:lang w:val="en-US" w:eastAsia="zh-CN"/>
        </w:rPr>
        <w:t>项目名称：2024年潜山市中医院艾灸仪、中药熏蒸治疗仪采购项目</w:t>
      </w:r>
    </w:p>
    <w:p w14:paraId="78608142">
      <w:pPr>
        <w:pStyle w:val="8"/>
        <w:pageBreakBefore w:val="0"/>
        <w:shd w:val="clear" w:color="auto" w:fill="FFFFFF"/>
        <w:kinsoku/>
        <w:overflowPunct/>
        <w:topLinePunct w:val="0"/>
        <w:autoSpaceDE/>
        <w:autoSpaceDN/>
        <w:bidi w:val="0"/>
        <w:adjustRightInd/>
        <w:snapToGrid/>
        <w:spacing w:line="240" w:lineRule="auto"/>
        <w:ind w:firstLine="413" w:firstLineChars="196"/>
        <w:textAlignment w:val="auto"/>
        <w:outlineLvl w:val="1"/>
        <w:rPr>
          <w:rFonts w:hint="eastAsia" w:ascii="宋体" w:hAnsi="宋体" w:eastAsia="宋体"/>
          <w:bCs/>
          <w:color w:val="auto"/>
          <w:szCs w:val="24"/>
          <w:highlight w:val="none"/>
          <w:lang w:val="en-US" w:eastAsia="zh-CN"/>
        </w:rPr>
      </w:pPr>
      <w:bookmarkStart w:id="233" w:name="_Toc19656"/>
      <w:bookmarkStart w:id="234" w:name="_Toc20450"/>
      <w:r>
        <w:rPr>
          <w:rFonts w:hint="eastAsia" w:ascii="宋体" w:hAnsi="宋体" w:eastAsia="宋体"/>
          <w:bCs/>
          <w:color w:val="auto"/>
          <w:szCs w:val="24"/>
          <w:highlight w:val="none"/>
          <w:lang w:val="en-US" w:eastAsia="zh-CN"/>
        </w:rPr>
        <w:t>三、</w:t>
      </w:r>
      <w:r>
        <w:rPr>
          <w:rFonts w:hint="eastAsia" w:hAnsi="宋体"/>
          <w:bCs/>
          <w:color w:val="auto"/>
          <w:szCs w:val="24"/>
          <w:highlight w:val="none"/>
        </w:rPr>
        <w:t>技术要求一览表</w:t>
      </w:r>
      <w:bookmarkEnd w:id="233"/>
      <w:bookmarkEnd w:id="234"/>
    </w:p>
    <w:tbl>
      <w:tblPr>
        <w:tblStyle w:val="61"/>
        <w:tblpPr w:leftFromText="180" w:rightFromText="180" w:vertAnchor="text" w:horzAnchor="page" w:tblpX="1892" w:tblpY="42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85"/>
        <w:gridCol w:w="1626"/>
        <w:gridCol w:w="2243"/>
        <w:gridCol w:w="2648"/>
      </w:tblGrid>
      <w:tr w14:paraId="3D13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noWrap w:val="0"/>
            <w:vAlign w:val="center"/>
          </w:tcPr>
          <w:p w14:paraId="5C1A5529">
            <w:pPr>
              <w:jc w:val="center"/>
              <w:rPr>
                <w:color w:val="auto"/>
                <w:highlight w:val="none"/>
              </w:rPr>
            </w:pPr>
            <w:r>
              <w:rPr>
                <w:rFonts w:hint="eastAsia"/>
                <w:color w:val="auto"/>
                <w:highlight w:val="none"/>
              </w:rPr>
              <w:t>序号</w:t>
            </w:r>
          </w:p>
        </w:tc>
        <w:tc>
          <w:tcPr>
            <w:tcW w:w="1085" w:type="pct"/>
            <w:noWrap w:val="0"/>
            <w:vAlign w:val="center"/>
          </w:tcPr>
          <w:p w14:paraId="41E385C1">
            <w:pPr>
              <w:ind w:firstLine="210" w:firstLineChars="100"/>
              <w:jc w:val="center"/>
              <w:rPr>
                <w:color w:val="auto"/>
                <w:highlight w:val="none"/>
              </w:rPr>
            </w:pPr>
            <w:r>
              <w:rPr>
                <w:rFonts w:hint="eastAsia"/>
                <w:color w:val="auto"/>
                <w:highlight w:val="none"/>
              </w:rPr>
              <w:t>名称</w:t>
            </w:r>
          </w:p>
        </w:tc>
        <w:tc>
          <w:tcPr>
            <w:tcW w:w="846" w:type="pct"/>
            <w:noWrap w:val="0"/>
            <w:vAlign w:val="center"/>
          </w:tcPr>
          <w:p w14:paraId="1BDBC8DA">
            <w:pPr>
              <w:ind w:firstLine="210" w:firstLineChars="100"/>
              <w:jc w:val="center"/>
              <w:rPr>
                <w:rFonts w:hint="eastAsia" w:eastAsia="宋体"/>
                <w:color w:val="auto"/>
                <w:highlight w:val="none"/>
                <w:lang w:eastAsia="zh-CN"/>
              </w:rPr>
            </w:pPr>
            <w:r>
              <w:rPr>
                <w:rFonts w:hint="eastAsia"/>
                <w:color w:val="auto"/>
                <w:highlight w:val="none"/>
                <w:lang w:val="en-US" w:eastAsia="zh-CN"/>
              </w:rPr>
              <w:t>数量</w:t>
            </w:r>
          </w:p>
        </w:tc>
        <w:tc>
          <w:tcPr>
            <w:tcW w:w="1167" w:type="pct"/>
            <w:noWrap w:val="0"/>
            <w:vAlign w:val="center"/>
          </w:tcPr>
          <w:p w14:paraId="533CE9F2">
            <w:pPr>
              <w:jc w:val="center"/>
              <w:rPr>
                <w:color w:val="auto"/>
                <w:highlight w:val="none"/>
              </w:rPr>
            </w:pPr>
            <w:r>
              <w:rPr>
                <w:rFonts w:hint="eastAsia"/>
                <w:color w:val="auto"/>
                <w:highlight w:val="none"/>
              </w:rPr>
              <w:t>单价（元/</w:t>
            </w:r>
            <w:r>
              <w:rPr>
                <w:rFonts w:hint="eastAsia"/>
                <w:color w:val="auto"/>
                <w:highlight w:val="none"/>
                <w:lang w:val="en-US" w:eastAsia="zh-CN"/>
              </w:rPr>
              <w:t>台</w:t>
            </w:r>
            <w:r>
              <w:rPr>
                <w:rFonts w:hint="eastAsia"/>
                <w:color w:val="auto"/>
                <w:highlight w:val="none"/>
              </w:rPr>
              <w:t>）</w:t>
            </w:r>
          </w:p>
        </w:tc>
        <w:tc>
          <w:tcPr>
            <w:tcW w:w="1378" w:type="pct"/>
            <w:noWrap w:val="0"/>
            <w:vAlign w:val="center"/>
          </w:tcPr>
          <w:p w14:paraId="12EFE246">
            <w:pPr>
              <w:ind w:firstLine="210" w:firstLineChars="100"/>
              <w:jc w:val="center"/>
              <w:rPr>
                <w:color w:val="auto"/>
                <w:highlight w:val="none"/>
              </w:rPr>
            </w:pPr>
            <w:r>
              <w:rPr>
                <w:rFonts w:hint="eastAsia"/>
                <w:color w:val="auto"/>
                <w:highlight w:val="none"/>
              </w:rPr>
              <w:t>备注</w:t>
            </w:r>
          </w:p>
        </w:tc>
      </w:tr>
      <w:tr w14:paraId="19F3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2" w:type="pct"/>
            <w:noWrap w:val="0"/>
            <w:vAlign w:val="center"/>
          </w:tcPr>
          <w:p w14:paraId="6B5C0FBC">
            <w:pPr>
              <w:jc w:val="center"/>
              <w:rPr>
                <w:rFonts w:hint="eastAsia" w:eastAsia="宋体"/>
                <w:color w:val="auto"/>
                <w:highlight w:val="none"/>
                <w:lang w:val="en-US" w:eastAsia="zh-CN"/>
              </w:rPr>
            </w:pPr>
            <w:r>
              <w:rPr>
                <w:rFonts w:hint="eastAsia"/>
                <w:color w:val="auto"/>
                <w:highlight w:val="none"/>
                <w:lang w:val="en-US" w:eastAsia="zh-CN"/>
              </w:rPr>
              <w:t>1</w:t>
            </w:r>
          </w:p>
        </w:tc>
        <w:tc>
          <w:tcPr>
            <w:tcW w:w="1085" w:type="pct"/>
            <w:noWrap w:val="0"/>
            <w:vAlign w:val="center"/>
          </w:tcPr>
          <w:p w14:paraId="56275532">
            <w:pPr>
              <w:ind w:firstLine="120" w:firstLineChars="50"/>
              <w:jc w:val="center"/>
              <w:rPr>
                <w:color w:val="auto"/>
                <w:highlight w:val="none"/>
              </w:rPr>
            </w:pPr>
            <w:r>
              <w:rPr>
                <w:rFonts w:hint="eastAsia" w:ascii="宋体" w:hAnsi="宋体" w:eastAsia="宋体" w:cs="宋体"/>
                <w:color w:val="auto"/>
                <w:sz w:val="24"/>
                <w:highlight w:val="none"/>
                <w:lang w:val="en-US" w:eastAsia="zh-CN"/>
              </w:rPr>
              <w:t>艾灸仪</w:t>
            </w:r>
          </w:p>
        </w:tc>
        <w:tc>
          <w:tcPr>
            <w:tcW w:w="846" w:type="pct"/>
            <w:noWrap w:val="0"/>
            <w:vAlign w:val="center"/>
          </w:tcPr>
          <w:p w14:paraId="59C35395">
            <w:pPr>
              <w:jc w:val="center"/>
              <w:rPr>
                <w:rFonts w:hint="default" w:eastAsia="宋体"/>
                <w:color w:val="auto"/>
                <w:highlight w:val="none"/>
                <w:lang w:val="en-US" w:eastAsia="zh-CN"/>
              </w:rPr>
            </w:pPr>
            <w:r>
              <w:rPr>
                <w:rFonts w:hint="eastAsia"/>
                <w:color w:val="auto"/>
                <w:highlight w:val="none"/>
                <w:lang w:val="en-US" w:eastAsia="zh-CN"/>
              </w:rPr>
              <w:t>2台</w:t>
            </w:r>
          </w:p>
        </w:tc>
        <w:tc>
          <w:tcPr>
            <w:tcW w:w="1167" w:type="pct"/>
            <w:noWrap w:val="0"/>
            <w:vAlign w:val="center"/>
          </w:tcPr>
          <w:p w14:paraId="11EBA635">
            <w:pPr>
              <w:jc w:val="center"/>
              <w:rPr>
                <w:rFonts w:hint="default" w:eastAsia="宋体"/>
                <w:color w:val="auto"/>
                <w:highlight w:val="none"/>
                <w:lang w:val="en-US" w:eastAsia="zh-CN"/>
              </w:rPr>
            </w:pPr>
            <w:r>
              <w:rPr>
                <w:rFonts w:hint="eastAsia"/>
                <w:color w:val="auto"/>
                <w:highlight w:val="none"/>
                <w:lang w:val="en-US" w:eastAsia="zh-CN"/>
              </w:rPr>
              <w:t>15000.00</w:t>
            </w:r>
          </w:p>
        </w:tc>
        <w:tc>
          <w:tcPr>
            <w:tcW w:w="1378" w:type="pct"/>
            <w:noWrap w:val="0"/>
            <w:vAlign w:val="center"/>
          </w:tcPr>
          <w:p w14:paraId="35D4D725">
            <w:pPr>
              <w:jc w:val="center"/>
              <w:rPr>
                <w:rFonts w:hint="default" w:eastAsia="宋体"/>
                <w:color w:val="auto"/>
                <w:highlight w:val="none"/>
                <w:lang w:val="en-US" w:eastAsia="zh-CN"/>
              </w:rPr>
            </w:pPr>
            <w:r>
              <w:rPr>
                <w:rFonts w:hint="eastAsia"/>
                <w:color w:val="auto"/>
                <w:highlight w:val="none"/>
                <w:lang w:val="en-US" w:eastAsia="zh-CN"/>
              </w:rPr>
              <w:t>详细参数附后</w:t>
            </w:r>
          </w:p>
        </w:tc>
      </w:tr>
      <w:tr w14:paraId="6D54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22" w:type="pct"/>
            <w:noWrap w:val="0"/>
            <w:vAlign w:val="center"/>
          </w:tcPr>
          <w:p w14:paraId="27AF9633">
            <w:pPr>
              <w:jc w:val="center"/>
              <w:rPr>
                <w:rFonts w:hint="eastAsia" w:eastAsia="宋体"/>
                <w:color w:val="auto"/>
                <w:highlight w:val="none"/>
                <w:lang w:val="en-US" w:eastAsia="zh-CN"/>
              </w:rPr>
            </w:pPr>
            <w:r>
              <w:rPr>
                <w:rFonts w:hint="eastAsia"/>
                <w:color w:val="auto"/>
                <w:highlight w:val="none"/>
                <w:lang w:val="en-US" w:eastAsia="zh-CN"/>
              </w:rPr>
              <w:t>2</w:t>
            </w:r>
          </w:p>
        </w:tc>
        <w:tc>
          <w:tcPr>
            <w:tcW w:w="1085" w:type="pct"/>
            <w:noWrap w:val="0"/>
            <w:vAlign w:val="center"/>
          </w:tcPr>
          <w:p w14:paraId="0F04E0D7">
            <w:pPr>
              <w:ind w:firstLine="240" w:firstLineChars="100"/>
              <w:jc w:val="center"/>
              <w:rPr>
                <w:color w:val="auto"/>
                <w:highlight w:val="none"/>
              </w:rPr>
            </w:pPr>
            <w:r>
              <w:rPr>
                <w:rFonts w:hint="eastAsia" w:ascii="宋体" w:hAnsi="宋体" w:eastAsia="宋体" w:cs="宋体"/>
                <w:color w:val="auto"/>
                <w:sz w:val="24"/>
                <w:highlight w:val="none"/>
                <w:lang w:val="en-US" w:eastAsia="zh-CN"/>
              </w:rPr>
              <w:t>中药熏蒸治疗仪</w:t>
            </w:r>
          </w:p>
        </w:tc>
        <w:tc>
          <w:tcPr>
            <w:tcW w:w="846" w:type="pct"/>
            <w:noWrap w:val="0"/>
            <w:vAlign w:val="center"/>
          </w:tcPr>
          <w:p w14:paraId="6D3EA4AB">
            <w:pPr>
              <w:jc w:val="center"/>
              <w:rPr>
                <w:rFonts w:hint="eastAsia"/>
                <w:color w:val="auto"/>
                <w:highlight w:val="none"/>
              </w:rPr>
            </w:pPr>
          </w:p>
          <w:p w14:paraId="0D6FC923">
            <w:pPr>
              <w:jc w:val="center"/>
              <w:rPr>
                <w:rFonts w:hint="default" w:eastAsia="宋体"/>
                <w:color w:val="auto"/>
                <w:highlight w:val="none"/>
                <w:lang w:val="en-US" w:eastAsia="zh-CN"/>
              </w:rPr>
            </w:pPr>
            <w:r>
              <w:rPr>
                <w:rFonts w:hint="eastAsia"/>
                <w:color w:val="auto"/>
                <w:highlight w:val="none"/>
                <w:lang w:val="en-US" w:eastAsia="zh-CN"/>
              </w:rPr>
              <w:t>2台</w:t>
            </w:r>
          </w:p>
          <w:p w14:paraId="3F329C53">
            <w:pPr>
              <w:jc w:val="center"/>
              <w:rPr>
                <w:color w:val="auto"/>
                <w:highlight w:val="none"/>
              </w:rPr>
            </w:pPr>
          </w:p>
        </w:tc>
        <w:tc>
          <w:tcPr>
            <w:tcW w:w="1167" w:type="pct"/>
            <w:noWrap w:val="0"/>
            <w:vAlign w:val="center"/>
          </w:tcPr>
          <w:p w14:paraId="57E59FA5">
            <w:pPr>
              <w:jc w:val="center"/>
              <w:rPr>
                <w:rFonts w:hint="default" w:eastAsia="宋体"/>
                <w:color w:val="auto"/>
                <w:highlight w:val="none"/>
                <w:lang w:val="en-US" w:eastAsia="zh-CN"/>
              </w:rPr>
            </w:pPr>
            <w:r>
              <w:rPr>
                <w:rFonts w:hint="eastAsia"/>
                <w:color w:val="auto"/>
                <w:highlight w:val="none"/>
                <w:lang w:val="en-US" w:eastAsia="zh-CN"/>
              </w:rPr>
              <w:t>20000.00</w:t>
            </w:r>
          </w:p>
        </w:tc>
        <w:tc>
          <w:tcPr>
            <w:tcW w:w="1378" w:type="pct"/>
            <w:noWrap w:val="0"/>
            <w:vAlign w:val="center"/>
          </w:tcPr>
          <w:p w14:paraId="0CC3EAC8">
            <w:pPr>
              <w:jc w:val="center"/>
              <w:rPr>
                <w:color w:val="auto"/>
                <w:highlight w:val="none"/>
              </w:rPr>
            </w:pPr>
            <w:r>
              <w:rPr>
                <w:rFonts w:hint="eastAsia"/>
                <w:color w:val="auto"/>
                <w:highlight w:val="none"/>
                <w:lang w:val="en-US" w:eastAsia="zh-CN"/>
              </w:rPr>
              <w:t>详细参数附后</w:t>
            </w:r>
          </w:p>
        </w:tc>
      </w:tr>
    </w:tbl>
    <w:p w14:paraId="3DFAE67B">
      <w:pPr>
        <w:pStyle w:val="74"/>
        <w:rPr>
          <w:rFonts w:hint="default"/>
          <w:color w:val="auto"/>
          <w:highlight w:val="none"/>
          <w:lang w:val="en-US" w:eastAsia="zh-CN"/>
        </w:rPr>
      </w:pPr>
    </w:p>
    <w:p w14:paraId="3C4D1200">
      <w:pPr>
        <w:numPr>
          <w:ilvl w:val="0"/>
          <w:numId w:val="0"/>
        </w:numPr>
        <w:spacing w:line="360" w:lineRule="auto"/>
        <w:ind w:left="0" w:leftChars="0" w:firstLine="413" w:firstLineChars="196"/>
        <w:rPr>
          <w:rFonts w:hint="eastAsia" w:ascii="宋体" w:hAnsi="宋体" w:cs="Times New Roman"/>
          <w:b/>
          <w:bCs/>
          <w:color w:val="auto"/>
          <w:kern w:val="2"/>
          <w:sz w:val="21"/>
          <w:szCs w:val="24"/>
          <w:highlight w:val="none"/>
          <w:shd w:val="clear" w:fill="FFFFFF"/>
          <w:lang w:val="en-US" w:eastAsia="zh-CN" w:bidi="ar-SA"/>
        </w:rPr>
      </w:pPr>
    </w:p>
    <w:p w14:paraId="4EB96705">
      <w:pPr>
        <w:numPr>
          <w:ilvl w:val="0"/>
          <w:numId w:val="0"/>
        </w:numPr>
        <w:spacing w:line="360" w:lineRule="auto"/>
        <w:ind w:left="0" w:leftChars="0" w:firstLine="413" w:firstLineChars="196"/>
        <w:rPr>
          <w:rFonts w:hint="eastAsia" w:ascii="宋体" w:hAnsi="宋体" w:cs="Times New Roman"/>
          <w:b/>
          <w:bCs/>
          <w:color w:val="auto"/>
          <w:kern w:val="2"/>
          <w:sz w:val="21"/>
          <w:szCs w:val="24"/>
          <w:highlight w:val="none"/>
          <w:shd w:val="clear" w:fill="FFFFFF"/>
          <w:lang w:val="en-US" w:eastAsia="zh-CN" w:bidi="ar-SA"/>
        </w:rPr>
      </w:pPr>
    </w:p>
    <w:bookmarkEnd w:id="232"/>
    <w:p w14:paraId="42EA22CF">
      <w:pPr>
        <w:numPr>
          <w:ilvl w:val="0"/>
          <w:numId w:val="0"/>
        </w:numPr>
        <w:spacing w:line="360" w:lineRule="auto"/>
        <w:ind w:left="0" w:leftChars="0" w:firstLine="470" w:firstLineChars="196"/>
        <w:jc w:val="center"/>
        <w:rPr>
          <w:rFonts w:hint="eastAsia" w:ascii="宋体" w:hAnsi="宋体" w:eastAsia="宋体" w:cs="宋体"/>
          <w:color w:val="auto"/>
          <w:sz w:val="24"/>
          <w:highlight w:val="none"/>
          <w:lang w:val="en-US" w:eastAsia="zh-CN"/>
        </w:rPr>
      </w:pPr>
      <w:bookmarkStart w:id="235" w:name="_Toc23690"/>
      <w:bookmarkStart w:id="236" w:name="_Toc26554"/>
      <w:r>
        <w:rPr>
          <w:rFonts w:hint="eastAsia" w:ascii="宋体" w:hAnsi="宋体" w:eastAsia="宋体" w:cs="宋体"/>
          <w:color w:val="auto"/>
          <w:sz w:val="24"/>
          <w:highlight w:val="none"/>
          <w:lang w:val="en-US" w:eastAsia="zh-CN"/>
        </w:rPr>
        <w:t>中药熏蒸治疗仪</w:t>
      </w:r>
    </w:p>
    <w:p w14:paraId="2F3A8DED">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一、技术参数要求</w:t>
      </w:r>
    </w:p>
    <w:p w14:paraId="3155531B">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1、额定输入功率：≤2600VA</w:t>
      </w:r>
    </w:p>
    <w:p w14:paraId="702A5F0B">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2、摆臂活动范围：转臂活动角度0~90°±10%,水平转动范围0~180°±10%;</w:t>
      </w:r>
    </w:p>
    <w:p w14:paraId="0D8D2FA9">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3、熏蒸时间：10分钟，15分钟，20分钟，25分钟，30分钟，35分钟，40 分钟，45分钟，允差±30s。</w:t>
      </w:r>
    </w:p>
    <w:p w14:paraId="5CD6B030">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4、加热容器容量≥4000mL。</w:t>
      </w:r>
    </w:p>
    <w:p w14:paraId="547A9FE1">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5、预约时间设置范围：5min～90min,步进5min,允差为±30s。</w:t>
      </w:r>
    </w:p>
    <w:p w14:paraId="517C2103">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6、药液预热功能，预热功率8档可选，预热温度设置：80℃~100℃,步进 5℃,允差±3℃。</w:t>
      </w:r>
    </w:p>
    <w:p w14:paraId="37BE6921">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7、熏蒸量：药液蒸汽输出功率1档～8档可调，步进1档，最大档位熏蒸量≤4000mL/h。</w:t>
      </w:r>
    </w:p>
    <w:p w14:paraId="42894DFB">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8、治疗仪在正常工作时的噪声≤55dB(A) </w:t>
      </w:r>
    </w:p>
    <w:p w14:paraId="405DC38D">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二、功能要求</w:t>
      </w:r>
    </w:p>
    <w:p w14:paraId="1924115E">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1、熏蒸通道：双通道，可分别独立控制；</w:t>
      </w:r>
    </w:p>
    <w:p w14:paraId="659DDEDC">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2、实时药温度、皮肤温度显示；实时状态提示和语音提示功能；</w:t>
      </w:r>
    </w:p>
    <w:p w14:paraId="1FC00431">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3、独立双锅，锅内内置带过滤功能的蒸汽输出装置，防止药渣进入，堵塞蒸汽管道；过滤网可拆卸，方便清洗药垢。</w:t>
      </w:r>
    </w:p>
    <w:p w14:paraId="5E7369D3">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4、蒸汽输出口有防烫伤的装置和警示。</w:t>
      </w:r>
    </w:p>
    <w:p w14:paraId="657DAC16">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5、废液可以排入水桶或者排入下水道，方便客户选择。</w:t>
      </w:r>
    </w:p>
    <w:p w14:paraId="2FFC6FD4">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6、预约加热功能，可提前设置好加热时间和加热时长。</w:t>
      </w:r>
    </w:p>
    <w:p w14:paraId="7470983E">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防干烧功能，3重措施依次保护。液位保护：液体量低于容器侧壁的液位电极时为缺液状态，设备会提示报警并停止加热；加热盘表面安装有温控开关，超温后断开加热系统电路；加热盘供电线路安装有温度保险丝，超温后断开加热系统电路。</w:t>
      </w:r>
    </w:p>
    <w:p w14:paraId="2150109B">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8、蒸汽压力锅具备安全阀，泄气阀，压力阀等多重超压保护措施，安全可靠；锅体食品级304加工，卫生安全；压力锅盖上有60KPa和100KPa压力阀门调节蒸汽压力；</w:t>
      </w:r>
    </w:p>
    <w:p w14:paraId="363AB956">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9、采用加热盘加热，铝合金材质，加热效率高，加热系统周围包裹隔温耐火材料。</w:t>
      </w:r>
    </w:p>
    <w:p w14:paraId="37100E4D">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10、皮肤测温采用接触式探头，精准度高，误差±1℃,严格遵守行业标准。</w:t>
      </w:r>
    </w:p>
    <w:p w14:paraId="104ADECF">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11、治疗开始时有语音提示，可提醒操作人员保持正确的熏蒸距离。</w:t>
      </w:r>
    </w:p>
    <w:p w14:paraId="3B75159A">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12、加大的药液容器，一次最大可加液4升，方便连续使用。</w:t>
      </w:r>
    </w:p>
    <w:p w14:paraId="6139B3FC">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13、安全保护功能</w:t>
      </w:r>
    </w:p>
    <w:p w14:paraId="017B45FD">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13.1具有两路独立的超温保护装置。</w:t>
      </w:r>
    </w:p>
    <w:p w14:paraId="2CC97F30">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13.2防烫伤双重保护。当接触式皮肤探头温度超过45℃时，喷头停止喷雾并语音提示，低于30℃时喷雾恢复正常；当第一路保护(皮肤探头)失效且达到50℃时，第二路红外传感器工作并切断加热系统电源，重启设备后恢复操作。</w:t>
      </w:r>
    </w:p>
    <w:p w14:paraId="5B1A9254">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14、自动释压调节功能：压力调节档位60kPa、100kPa,当加热容器内部压力大于设置的压力调节档位时，减压阀自动开启，自动释压至该档位压力以下。</w:t>
      </w:r>
    </w:p>
    <w:p w14:paraId="50DABB06">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15、泄压功能：治疗结束，能够对加热容器压力进行触控泄压。</w:t>
      </w:r>
    </w:p>
    <w:p w14:paraId="6AA4F9F5">
      <w:pPr>
        <w:pStyle w:val="8"/>
        <w:pageBreakBefore w:val="0"/>
        <w:kinsoku/>
        <w:overflowPunct/>
        <w:topLinePunct w:val="0"/>
        <w:autoSpaceDE/>
        <w:autoSpaceDN/>
        <w:bidi w:val="0"/>
        <w:adjustRightInd/>
        <w:snapToGrid/>
        <w:spacing w:line="240" w:lineRule="auto"/>
        <w:ind w:firstLine="413" w:firstLineChars="196"/>
        <w:textAlignment w:val="auto"/>
        <w:outlineLvl w:val="1"/>
        <w:rPr>
          <w:color w:val="auto"/>
          <w:highlight w:val="none"/>
        </w:rPr>
      </w:pPr>
    </w:p>
    <w:p w14:paraId="65CE4AFC">
      <w:pPr>
        <w:spacing w:before="54" w:line="219" w:lineRule="auto"/>
        <w:ind w:left="555"/>
        <w:jc w:val="center"/>
        <w:rPr>
          <w:rFonts w:ascii="宋体" w:hAnsi="宋体" w:eastAsia="宋体" w:cs="宋体"/>
          <w:b/>
          <w:bCs/>
          <w:color w:val="auto"/>
          <w:spacing w:val="5"/>
          <w:sz w:val="22"/>
          <w:szCs w:val="22"/>
          <w:highlight w:val="none"/>
        </w:rPr>
      </w:pPr>
    </w:p>
    <w:p w14:paraId="735A6A74">
      <w:pPr>
        <w:spacing w:before="54" w:line="219" w:lineRule="auto"/>
        <w:ind w:left="555"/>
        <w:jc w:val="center"/>
        <w:rPr>
          <w:rFonts w:ascii="宋体" w:hAnsi="宋体" w:eastAsia="宋体" w:cs="宋体"/>
          <w:color w:val="auto"/>
          <w:sz w:val="22"/>
          <w:szCs w:val="22"/>
          <w:highlight w:val="none"/>
        </w:rPr>
      </w:pPr>
      <w:r>
        <w:rPr>
          <w:rFonts w:ascii="宋体" w:hAnsi="宋体" w:eastAsia="宋体" w:cs="宋体"/>
          <w:b/>
          <w:bCs/>
          <w:color w:val="auto"/>
          <w:spacing w:val="5"/>
          <w:sz w:val="22"/>
          <w:szCs w:val="22"/>
          <w:highlight w:val="none"/>
        </w:rPr>
        <w:t>艾灸仪</w:t>
      </w:r>
    </w:p>
    <w:p w14:paraId="56B7BD23">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技术参数和功能要求</w:t>
      </w:r>
    </w:p>
    <w:p w14:paraId="7E5482C4">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1、规格(长*宽*高):925mm*440mm*1326mm±50mm</w:t>
      </w:r>
    </w:p>
    <w:p w14:paraId="68CFB382">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2、电源：AC 220V,50Hz±1Hz</w:t>
      </w:r>
    </w:p>
    <w:p w14:paraId="3C11D614">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3、输入功率：250VA</w:t>
      </w:r>
    </w:p>
    <w:p w14:paraId="7D8318C8">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4、灸头高度连续可调：785mm-1100mm±50mm</w:t>
      </w:r>
    </w:p>
    <w:p w14:paraId="430ECCBF">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5、灸疗最高温度≤60℃</w:t>
      </w:r>
    </w:p>
    <w:p w14:paraId="3A0ED823">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6、灸疗时间为30min±20s</w:t>
      </w:r>
    </w:p>
    <w:p w14:paraId="1C8B5AC7">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7、支臂角度连续可调：0°-180°±5°</w:t>
      </w:r>
    </w:p>
    <w:p w14:paraId="4A5E8AA9">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8、具备点火装置、消烟装置及标识，数码管显示工作时间、点火状态、消烟状态</w:t>
      </w:r>
    </w:p>
    <w:p w14:paraId="404CE831">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9、点火时间≤1min, 点火装置的加热丝最大负载功率≥168W</w:t>
      </w:r>
    </w:p>
    <w:p w14:paraId="26FAAC72">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10、具备脚轮锁止装置，方便设备移动、固定</w:t>
      </w:r>
    </w:p>
    <w:p w14:paraId="79A66C29">
      <w:pPr>
        <w:pageBreakBefore w:val="0"/>
        <w:widowControl/>
        <w:kinsoku/>
        <w:overflowPunct/>
        <w:topLinePunct w:val="0"/>
        <w:bidi w:val="0"/>
        <w:snapToGrid/>
        <w:spacing w:line="440" w:lineRule="exact"/>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11、艾灸仪在正常工作的工作噪声≤55dB(A)</w:t>
      </w:r>
    </w:p>
    <w:p w14:paraId="77BC88C3">
      <w:pPr>
        <w:pStyle w:val="8"/>
        <w:pageBreakBefore w:val="0"/>
        <w:kinsoku/>
        <w:overflowPunct/>
        <w:topLinePunct w:val="0"/>
        <w:autoSpaceDE/>
        <w:autoSpaceDN/>
        <w:bidi w:val="0"/>
        <w:adjustRightInd/>
        <w:snapToGrid/>
        <w:spacing w:line="240" w:lineRule="auto"/>
        <w:ind w:firstLine="413" w:firstLineChars="196"/>
        <w:textAlignment w:val="auto"/>
        <w:outlineLvl w:val="1"/>
        <w:rPr>
          <w:color w:val="auto"/>
          <w:highlight w:val="none"/>
        </w:rPr>
      </w:pPr>
    </w:p>
    <w:p w14:paraId="512EC966">
      <w:pPr>
        <w:pStyle w:val="8"/>
        <w:pageBreakBefore w:val="0"/>
        <w:kinsoku/>
        <w:overflowPunct/>
        <w:topLinePunct w:val="0"/>
        <w:autoSpaceDE/>
        <w:autoSpaceDN/>
        <w:bidi w:val="0"/>
        <w:adjustRightInd/>
        <w:snapToGrid/>
        <w:spacing w:line="240" w:lineRule="auto"/>
        <w:ind w:firstLine="413" w:firstLineChars="196"/>
        <w:textAlignment w:val="auto"/>
        <w:outlineLvl w:val="1"/>
        <w:rPr>
          <w:rFonts w:hint="eastAsia"/>
          <w:color w:val="auto"/>
          <w:highlight w:val="none"/>
          <w:lang w:val="en-US" w:eastAsia="zh-CN"/>
        </w:rPr>
      </w:pPr>
    </w:p>
    <w:p w14:paraId="69FCFE00">
      <w:pPr>
        <w:pStyle w:val="8"/>
        <w:ind w:firstLine="413" w:firstLineChars="196"/>
        <w:rPr>
          <w:color w:val="auto"/>
          <w:highlight w:val="none"/>
        </w:rPr>
      </w:pPr>
      <w:bookmarkStart w:id="237" w:name="_Toc254"/>
      <w:bookmarkStart w:id="238" w:name="_Toc18932"/>
      <w:r>
        <w:rPr>
          <w:rFonts w:hint="eastAsia"/>
          <w:color w:val="auto"/>
          <w:highlight w:val="none"/>
          <w:lang w:val="en-US" w:eastAsia="zh-CN"/>
        </w:rPr>
        <w:t>四</w:t>
      </w:r>
      <w:r>
        <w:rPr>
          <w:rFonts w:hint="eastAsia"/>
          <w:color w:val="auto"/>
          <w:highlight w:val="none"/>
        </w:rPr>
        <w:t>、人员培训要求</w:t>
      </w:r>
      <w:bookmarkEnd w:id="237"/>
      <w:bookmarkEnd w:id="238"/>
    </w:p>
    <w:p w14:paraId="2FDB5EED">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货物安装、调试、验收合格后，</w:t>
      </w:r>
      <w:r>
        <w:rPr>
          <w:rFonts w:hint="eastAsia" w:ascii="宋体" w:hAnsi="宋体"/>
          <w:color w:val="auto"/>
          <w:szCs w:val="21"/>
          <w:highlight w:val="none"/>
          <w:lang w:eastAsia="zh-CN"/>
        </w:rPr>
        <w:t>成交</w:t>
      </w:r>
      <w:r>
        <w:rPr>
          <w:rFonts w:hint="eastAsia" w:ascii="宋体" w:hAnsi="宋体"/>
          <w:color w:val="auto"/>
          <w:szCs w:val="21"/>
          <w:highlight w:val="none"/>
        </w:rPr>
        <w:t>人应对采购人的相关人员进行免费现场培训。培训内容包括基本操作、保养维修、常见故障及解决办法等。</w:t>
      </w:r>
    </w:p>
    <w:bookmarkEnd w:id="235"/>
    <w:bookmarkEnd w:id="236"/>
    <w:p w14:paraId="6A638447">
      <w:pPr>
        <w:pStyle w:val="8"/>
        <w:pageBreakBefore w:val="0"/>
        <w:kinsoku/>
        <w:overflowPunct/>
        <w:topLinePunct w:val="0"/>
        <w:bidi w:val="0"/>
        <w:snapToGrid/>
        <w:spacing w:line="440" w:lineRule="exact"/>
        <w:ind w:firstLine="413" w:firstLineChars="196"/>
        <w:textAlignment w:val="auto"/>
        <w:rPr>
          <w:color w:val="auto"/>
          <w:highlight w:val="none"/>
        </w:rPr>
      </w:pPr>
      <w:bookmarkStart w:id="239" w:name="_Toc14080"/>
      <w:bookmarkStart w:id="240" w:name="_Toc5424"/>
      <w:r>
        <w:rPr>
          <w:rFonts w:hint="eastAsia"/>
          <w:color w:val="auto"/>
          <w:highlight w:val="none"/>
          <w:lang w:val="en-US" w:eastAsia="zh-CN"/>
        </w:rPr>
        <w:t>五</w:t>
      </w:r>
      <w:r>
        <w:rPr>
          <w:rFonts w:hint="eastAsia"/>
          <w:color w:val="auto"/>
          <w:highlight w:val="none"/>
        </w:rPr>
        <w:t>、货物质量及售后服务要求</w:t>
      </w:r>
      <w:bookmarkEnd w:id="239"/>
      <w:bookmarkEnd w:id="240"/>
    </w:p>
    <w:p w14:paraId="087CFC4F">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1、货物质量：</w:t>
      </w:r>
      <w:r>
        <w:rPr>
          <w:rFonts w:hint="eastAsia" w:ascii="宋体" w:hAnsi="宋体"/>
          <w:color w:val="auto"/>
          <w:szCs w:val="21"/>
          <w:highlight w:val="none"/>
          <w:lang w:val="en-US" w:eastAsia="zh-CN"/>
        </w:rPr>
        <w:t>成交</w:t>
      </w:r>
      <w:r>
        <w:rPr>
          <w:rFonts w:hint="eastAsia" w:ascii="宋体" w:hAnsi="宋体"/>
          <w:color w:val="auto"/>
          <w:szCs w:val="21"/>
          <w:highlight w:val="none"/>
        </w:rPr>
        <w:t>人提供的货物必须是全新、原装、合格正品，完全符合国家规定的质量标准和厂方的标准。货物完好，配件齐全。</w:t>
      </w:r>
    </w:p>
    <w:p w14:paraId="1175D7F2">
      <w:pPr>
        <w:pageBreakBefore w:val="0"/>
        <w:widowControl/>
        <w:kinsoku/>
        <w:overflowPunct/>
        <w:topLinePunct w:val="0"/>
        <w:bidi w:val="0"/>
        <w:snapToGrid/>
        <w:spacing w:line="440" w:lineRule="exact"/>
        <w:jc w:val="left"/>
        <w:textAlignment w:val="auto"/>
        <w:rPr>
          <w:rFonts w:ascii="宋体" w:hAnsi="宋体"/>
          <w:color w:val="auto"/>
          <w:szCs w:val="21"/>
          <w:highlight w:val="none"/>
        </w:rPr>
      </w:pPr>
      <w:r>
        <w:rPr>
          <w:rFonts w:hint="eastAsia" w:ascii="宋体" w:hAnsi="宋体"/>
          <w:color w:val="auto"/>
          <w:szCs w:val="21"/>
          <w:highlight w:val="none"/>
        </w:rPr>
        <w:t xml:space="preserve">    2、保修及售后服务：依据商品的保修条款及售后服务条款，提供原厂质保，质保期按照国家规定，且不低于所供品牌向用户承诺的质保期限，</w:t>
      </w:r>
      <w:r>
        <w:rPr>
          <w:rFonts w:hint="eastAsia" w:ascii="宋体" w:hAnsi="宋体"/>
          <w:color w:val="auto"/>
          <w:szCs w:val="21"/>
          <w:highlight w:val="none"/>
          <w:lang w:eastAsia="zh-CN"/>
        </w:rPr>
        <w:t>磋商文件</w:t>
      </w:r>
      <w:r>
        <w:rPr>
          <w:rFonts w:hint="eastAsia" w:ascii="宋体" w:hAnsi="宋体"/>
          <w:color w:val="auto"/>
          <w:szCs w:val="21"/>
          <w:highlight w:val="none"/>
        </w:rPr>
        <w:t>另有约定的从其约定。质保期从货物验收合格后算起。</w:t>
      </w:r>
    </w:p>
    <w:p w14:paraId="1F9D5E2D">
      <w:pPr>
        <w:pStyle w:val="8"/>
        <w:pageBreakBefore w:val="0"/>
        <w:kinsoku/>
        <w:overflowPunct/>
        <w:topLinePunct w:val="0"/>
        <w:bidi w:val="0"/>
        <w:snapToGrid/>
        <w:spacing w:line="440" w:lineRule="exact"/>
        <w:ind w:firstLine="413" w:firstLineChars="196"/>
        <w:textAlignment w:val="auto"/>
        <w:rPr>
          <w:color w:val="auto"/>
          <w:highlight w:val="none"/>
        </w:rPr>
      </w:pPr>
      <w:bookmarkStart w:id="241" w:name="_Toc20526"/>
      <w:bookmarkStart w:id="242" w:name="_Toc3894"/>
      <w:r>
        <w:rPr>
          <w:rFonts w:hint="eastAsia"/>
          <w:color w:val="auto"/>
          <w:highlight w:val="none"/>
          <w:lang w:val="en-US" w:eastAsia="zh-CN"/>
        </w:rPr>
        <w:t>六</w:t>
      </w:r>
      <w:r>
        <w:rPr>
          <w:rFonts w:hint="eastAsia"/>
          <w:color w:val="auto"/>
          <w:highlight w:val="none"/>
        </w:rPr>
        <w:t>、验收</w:t>
      </w:r>
      <w:bookmarkEnd w:id="241"/>
      <w:bookmarkEnd w:id="242"/>
      <w:r>
        <w:rPr>
          <w:rFonts w:hint="eastAsia"/>
          <w:color w:val="auto"/>
          <w:highlight w:val="none"/>
        </w:rPr>
        <w:t xml:space="preserve">     </w:t>
      </w:r>
    </w:p>
    <w:p w14:paraId="12EEC243">
      <w:pPr>
        <w:spacing w:before="141" w:line="226" w:lineRule="auto"/>
        <w:ind w:firstLine="420" w:firstLineChars="200"/>
        <w:outlineLvl w:val="0"/>
        <w:rPr>
          <w:rFonts w:ascii="黑体" w:hAnsi="黑体" w:eastAsia="黑体" w:cs="黑体"/>
          <w:b/>
          <w:bCs/>
          <w:color w:val="auto"/>
          <w:spacing w:val="6"/>
          <w:sz w:val="31"/>
          <w:szCs w:val="31"/>
          <w:highlight w:val="none"/>
        </w:rPr>
      </w:pPr>
      <w:bookmarkStart w:id="243" w:name="_Toc30099"/>
      <w:bookmarkStart w:id="244" w:name="_Toc3026"/>
      <w:r>
        <w:rPr>
          <w:rFonts w:hint="eastAsia" w:ascii="宋体" w:hAnsi="宋体"/>
          <w:color w:val="auto"/>
          <w:szCs w:val="21"/>
          <w:highlight w:val="none"/>
          <w:lang w:val="en-US" w:eastAsia="zh-CN"/>
        </w:rPr>
        <w:t>成交</w:t>
      </w:r>
      <w:r>
        <w:rPr>
          <w:rFonts w:hint="eastAsia" w:ascii="宋体" w:hAnsi="宋体"/>
          <w:color w:val="auto"/>
          <w:szCs w:val="21"/>
          <w:highlight w:val="none"/>
        </w:rPr>
        <w:t>人和采购人双方共同实施验收工作，结果和验收报告经双方确认后生效</w:t>
      </w:r>
      <w:bookmarkEnd w:id="243"/>
      <w:bookmarkEnd w:id="244"/>
    </w:p>
    <w:p w14:paraId="67D777A0">
      <w:pPr>
        <w:spacing w:before="141" w:line="226" w:lineRule="auto"/>
        <w:ind w:left="3077"/>
        <w:outlineLvl w:val="0"/>
        <w:rPr>
          <w:rFonts w:ascii="黑体" w:hAnsi="黑体" w:eastAsia="黑体" w:cs="黑体"/>
          <w:b/>
          <w:bCs/>
          <w:color w:val="auto"/>
          <w:spacing w:val="6"/>
          <w:sz w:val="31"/>
          <w:szCs w:val="31"/>
          <w:highlight w:val="none"/>
        </w:rPr>
      </w:pPr>
    </w:p>
    <w:p w14:paraId="74DB9445">
      <w:pPr>
        <w:spacing w:before="141" w:line="226" w:lineRule="auto"/>
        <w:ind w:left="3077"/>
        <w:outlineLvl w:val="0"/>
        <w:rPr>
          <w:rFonts w:ascii="黑体" w:hAnsi="黑体" w:eastAsia="黑体" w:cs="黑体"/>
          <w:b/>
          <w:bCs/>
          <w:color w:val="auto"/>
          <w:spacing w:val="6"/>
          <w:sz w:val="31"/>
          <w:szCs w:val="31"/>
          <w:highlight w:val="none"/>
        </w:rPr>
      </w:pPr>
    </w:p>
    <w:p w14:paraId="2893C12A">
      <w:pPr>
        <w:spacing w:before="141" w:line="226" w:lineRule="auto"/>
        <w:ind w:left="3077"/>
        <w:outlineLvl w:val="0"/>
        <w:rPr>
          <w:rFonts w:ascii="黑体" w:hAnsi="黑体" w:eastAsia="黑体" w:cs="黑体"/>
          <w:b/>
          <w:bCs/>
          <w:color w:val="auto"/>
          <w:spacing w:val="6"/>
          <w:sz w:val="31"/>
          <w:szCs w:val="31"/>
          <w:highlight w:val="none"/>
        </w:rPr>
      </w:pPr>
    </w:p>
    <w:p w14:paraId="01ACE66E">
      <w:pPr>
        <w:spacing w:before="141" w:line="226" w:lineRule="auto"/>
        <w:ind w:left="3077"/>
        <w:outlineLvl w:val="0"/>
        <w:rPr>
          <w:rFonts w:ascii="黑体" w:hAnsi="黑体" w:eastAsia="黑体" w:cs="黑体"/>
          <w:color w:val="auto"/>
          <w:sz w:val="31"/>
          <w:szCs w:val="31"/>
          <w:highlight w:val="none"/>
        </w:rPr>
      </w:pPr>
      <w:bookmarkStart w:id="245" w:name="_Toc7284"/>
      <w:r>
        <w:rPr>
          <w:rFonts w:ascii="黑体" w:hAnsi="黑体" w:eastAsia="黑体" w:cs="黑体"/>
          <w:b/>
          <w:bCs/>
          <w:color w:val="auto"/>
          <w:spacing w:val="6"/>
          <w:sz w:val="31"/>
          <w:szCs w:val="31"/>
          <w:highlight w:val="none"/>
        </w:rPr>
        <w:t>第四章</w:t>
      </w:r>
      <w:r>
        <w:rPr>
          <w:rFonts w:ascii="黑体" w:hAnsi="黑体" w:eastAsia="黑体" w:cs="黑体"/>
          <w:color w:val="auto"/>
          <w:spacing w:val="6"/>
          <w:sz w:val="31"/>
          <w:szCs w:val="31"/>
          <w:highlight w:val="none"/>
        </w:rPr>
        <w:t xml:space="preserve"> </w:t>
      </w:r>
      <w:r>
        <w:rPr>
          <w:rFonts w:ascii="黑体" w:hAnsi="黑体" w:eastAsia="黑体" w:cs="黑体"/>
          <w:b/>
          <w:bCs/>
          <w:color w:val="auto"/>
          <w:spacing w:val="6"/>
          <w:sz w:val="31"/>
          <w:szCs w:val="31"/>
          <w:highlight w:val="none"/>
        </w:rPr>
        <w:t>评审办法与标准</w:t>
      </w:r>
      <w:bookmarkEnd w:id="245"/>
    </w:p>
    <w:p w14:paraId="6156B21B">
      <w:pPr>
        <w:spacing w:before="203" w:line="220" w:lineRule="auto"/>
        <w:ind w:left="546"/>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一、总则</w:t>
      </w:r>
    </w:p>
    <w:p w14:paraId="79819F46">
      <w:pPr>
        <w:spacing w:before="181" w:line="219" w:lineRule="auto"/>
        <w:ind w:left="603"/>
        <w:rPr>
          <w:rFonts w:ascii="宋体" w:hAnsi="宋体" w:eastAsia="宋体" w:cs="宋体"/>
          <w:color w:val="auto"/>
          <w:sz w:val="24"/>
          <w:szCs w:val="24"/>
          <w:highlight w:val="none"/>
        </w:rPr>
      </w:pPr>
      <w:r>
        <w:rPr>
          <w:rFonts w:ascii="宋体" w:hAnsi="宋体" w:eastAsia="宋体" w:cs="宋体"/>
          <w:color w:val="auto"/>
          <w:sz w:val="24"/>
          <w:szCs w:val="24"/>
          <w:highlight w:val="none"/>
        </w:rPr>
        <w:t>本项目将按照磋商文件第二章 竞争性磋商须知的相</w:t>
      </w:r>
      <w:r>
        <w:rPr>
          <w:rFonts w:ascii="宋体" w:hAnsi="宋体" w:eastAsia="宋体" w:cs="宋体"/>
          <w:color w:val="auto"/>
          <w:spacing w:val="-1"/>
          <w:sz w:val="24"/>
          <w:szCs w:val="24"/>
          <w:highlight w:val="none"/>
        </w:rPr>
        <w:t>关要求及本章的规定评审。</w:t>
      </w:r>
    </w:p>
    <w:p w14:paraId="62962A0F">
      <w:pPr>
        <w:spacing w:before="184" w:line="220" w:lineRule="auto"/>
        <w:ind w:left="54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二、评审方法：</w:t>
      </w:r>
    </w:p>
    <w:p w14:paraId="2C5171E9">
      <w:pPr>
        <w:spacing w:before="197" w:line="228" w:lineRule="auto"/>
        <w:ind w:left="543"/>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2.1</w:t>
      </w:r>
      <w:r>
        <w:rPr>
          <w:rFonts w:ascii="宋体" w:hAnsi="宋体" w:eastAsia="宋体" w:cs="宋体"/>
          <w:color w:val="auto"/>
          <w:spacing w:val="-38"/>
          <w:sz w:val="20"/>
          <w:szCs w:val="20"/>
          <w:highlight w:val="none"/>
        </w:rPr>
        <w:t xml:space="preserve"> </w:t>
      </w:r>
      <w:r>
        <w:rPr>
          <w:rFonts w:ascii="宋体" w:hAnsi="宋体" w:eastAsia="宋体" w:cs="宋体"/>
          <w:b/>
          <w:bCs/>
          <w:color w:val="auto"/>
          <w:spacing w:val="1"/>
          <w:sz w:val="20"/>
          <w:szCs w:val="20"/>
          <w:highlight w:val="none"/>
        </w:rPr>
        <w:t>初审</w:t>
      </w:r>
    </w:p>
    <w:p w14:paraId="507D0CDF">
      <w:pPr>
        <w:spacing w:before="205" w:line="316" w:lineRule="auto"/>
        <w:ind w:left="121"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磋商小组对供应商的响应文件进行初审，以确定其是否满足磋商文件的实质性要求。</w:t>
      </w:r>
      <w:r>
        <w:rPr>
          <w:rFonts w:ascii="宋体" w:hAnsi="宋体" w:eastAsia="宋体" w:cs="宋体"/>
          <w:color w:val="auto"/>
          <w:spacing w:val="11"/>
          <w:sz w:val="24"/>
          <w:szCs w:val="24"/>
          <w:highlight w:val="none"/>
        </w:rPr>
        <w:t xml:space="preserve"> </w:t>
      </w:r>
      <w:r>
        <w:rPr>
          <w:rFonts w:ascii="宋体" w:hAnsi="宋体" w:eastAsia="宋体" w:cs="宋体"/>
          <w:color w:val="auto"/>
          <w:spacing w:val="-2"/>
          <w:sz w:val="24"/>
          <w:szCs w:val="24"/>
          <w:highlight w:val="none"/>
        </w:rPr>
        <w:t>初审表如下：</w:t>
      </w:r>
    </w:p>
    <w:tbl>
      <w:tblPr>
        <w:tblStyle w:val="42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569"/>
        <w:gridCol w:w="2544"/>
        <w:gridCol w:w="4480"/>
      </w:tblGrid>
      <w:tr w14:paraId="7B273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290" w:type="dxa"/>
            <w:gridSpan w:val="4"/>
            <w:vAlign w:val="top"/>
          </w:tcPr>
          <w:p w14:paraId="64950F9E">
            <w:pPr>
              <w:spacing w:before="90" w:line="228" w:lineRule="auto"/>
              <w:ind w:left="4339"/>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初审表</w:t>
            </w:r>
          </w:p>
        </w:tc>
      </w:tr>
      <w:tr w14:paraId="6801E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697" w:type="dxa"/>
            <w:vAlign w:val="top"/>
          </w:tcPr>
          <w:p w14:paraId="11FF5ED1">
            <w:pPr>
              <w:spacing w:before="31" w:line="229" w:lineRule="auto"/>
              <w:ind w:left="146"/>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序号</w:t>
            </w:r>
          </w:p>
        </w:tc>
        <w:tc>
          <w:tcPr>
            <w:tcW w:w="1569" w:type="dxa"/>
            <w:vAlign w:val="top"/>
          </w:tcPr>
          <w:p w14:paraId="52DD68CC">
            <w:pPr>
              <w:spacing w:before="32" w:line="228" w:lineRule="auto"/>
              <w:ind w:left="371"/>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评审指标</w:t>
            </w:r>
          </w:p>
        </w:tc>
        <w:tc>
          <w:tcPr>
            <w:tcW w:w="2544" w:type="dxa"/>
            <w:vAlign w:val="top"/>
          </w:tcPr>
          <w:p w14:paraId="746F36D1">
            <w:pPr>
              <w:spacing w:before="32" w:line="228" w:lineRule="auto"/>
              <w:ind w:left="859"/>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评审标准</w:t>
            </w:r>
          </w:p>
        </w:tc>
        <w:tc>
          <w:tcPr>
            <w:tcW w:w="4480" w:type="dxa"/>
            <w:vAlign w:val="top"/>
          </w:tcPr>
          <w:p w14:paraId="1A800435">
            <w:pPr>
              <w:spacing w:before="31" w:line="227" w:lineRule="auto"/>
              <w:ind w:left="1512"/>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格式及材料要求</w:t>
            </w:r>
          </w:p>
        </w:tc>
      </w:tr>
      <w:tr w14:paraId="5DBFA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697" w:type="dxa"/>
            <w:vAlign w:val="top"/>
          </w:tcPr>
          <w:p w14:paraId="59F314B0">
            <w:pPr>
              <w:spacing w:line="354" w:lineRule="auto"/>
              <w:rPr>
                <w:rFonts w:ascii="Arial"/>
                <w:color w:val="auto"/>
                <w:sz w:val="21"/>
                <w:highlight w:val="none"/>
              </w:rPr>
            </w:pPr>
          </w:p>
          <w:p w14:paraId="146F2EED">
            <w:pPr>
              <w:spacing w:line="354" w:lineRule="auto"/>
              <w:rPr>
                <w:rFonts w:ascii="Arial"/>
                <w:color w:val="auto"/>
                <w:sz w:val="21"/>
                <w:highlight w:val="none"/>
              </w:rPr>
            </w:pPr>
          </w:p>
          <w:p w14:paraId="62F29E16">
            <w:pPr>
              <w:spacing w:before="65" w:line="189" w:lineRule="auto"/>
              <w:ind w:left="321"/>
              <w:rPr>
                <w:rFonts w:ascii="宋体" w:hAnsi="宋体" w:eastAsia="宋体" w:cs="宋体"/>
                <w:color w:val="auto"/>
                <w:sz w:val="20"/>
                <w:szCs w:val="20"/>
                <w:highlight w:val="none"/>
              </w:rPr>
            </w:pPr>
            <w:r>
              <w:rPr>
                <w:rFonts w:ascii="宋体" w:hAnsi="宋体" w:eastAsia="宋体" w:cs="宋体"/>
                <w:color w:val="auto"/>
                <w:sz w:val="20"/>
                <w:szCs w:val="20"/>
                <w:highlight w:val="none"/>
              </w:rPr>
              <w:t>1</w:t>
            </w:r>
          </w:p>
        </w:tc>
        <w:tc>
          <w:tcPr>
            <w:tcW w:w="1569" w:type="dxa"/>
            <w:vAlign w:val="top"/>
          </w:tcPr>
          <w:p w14:paraId="5044BCF4">
            <w:pPr>
              <w:spacing w:line="358" w:lineRule="auto"/>
              <w:rPr>
                <w:rFonts w:ascii="Arial"/>
                <w:color w:val="auto"/>
                <w:sz w:val="21"/>
                <w:highlight w:val="none"/>
              </w:rPr>
            </w:pPr>
          </w:p>
          <w:p w14:paraId="143A797B">
            <w:pPr>
              <w:spacing w:line="358" w:lineRule="auto"/>
              <w:rPr>
                <w:rFonts w:ascii="Arial"/>
                <w:color w:val="auto"/>
                <w:sz w:val="21"/>
                <w:highlight w:val="none"/>
              </w:rPr>
            </w:pPr>
          </w:p>
          <w:p w14:paraId="4C71148A">
            <w:pPr>
              <w:spacing w:before="65" w:line="228" w:lineRule="auto"/>
              <w:ind w:left="38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营业执照</w:t>
            </w:r>
          </w:p>
        </w:tc>
        <w:tc>
          <w:tcPr>
            <w:tcW w:w="2544" w:type="dxa"/>
            <w:vAlign w:val="top"/>
          </w:tcPr>
          <w:p w14:paraId="138115B0">
            <w:pPr>
              <w:spacing w:line="358" w:lineRule="auto"/>
              <w:rPr>
                <w:rFonts w:ascii="Arial"/>
                <w:color w:val="auto"/>
                <w:sz w:val="21"/>
                <w:highlight w:val="none"/>
              </w:rPr>
            </w:pPr>
          </w:p>
          <w:p w14:paraId="0382CA29">
            <w:pPr>
              <w:spacing w:line="359" w:lineRule="auto"/>
              <w:rPr>
                <w:rFonts w:ascii="Arial"/>
                <w:color w:val="auto"/>
                <w:sz w:val="21"/>
                <w:highlight w:val="none"/>
              </w:rPr>
            </w:pPr>
          </w:p>
          <w:p w14:paraId="23150E01">
            <w:pPr>
              <w:spacing w:before="65" w:line="228" w:lineRule="auto"/>
              <w:ind w:left="86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合法有效</w:t>
            </w:r>
          </w:p>
        </w:tc>
        <w:tc>
          <w:tcPr>
            <w:tcW w:w="4480" w:type="dxa"/>
            <w:vMerge w:val="restart"/>
            <w:tcBorders>
              <w:bottom w:val="nil"/>
            </w:tcBorders>
            <w:vAlign w:val="top"/>
          </w:tcPr>
          <w:p w14:paraId="345AE1EA">
            <w:pPr>
              <w:spacing w:before="125" w:line="429" w:lineRule="auto"/>
              <w:ind w:left="143" w:right="138" w:firstLine="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提供有效的响应人营业执照（或事业单位法人证书或社会团体法人登记证书或民办非企业单 位登记证书）和税务登记证的扫描件，应完整</w:t>
            </w:r>
            <w:r>
              <w:rPr>
                <w:rFonts w:ascii="宋体" w:hAnsi="宋体" w:eastAsia="宋体" w:cs="宋体"/>
                <w:color w:val="auto"/>
                <w:spacing w:val="11"/>
                <w:sz w:val="20"/>
                <w:szCs w:val="20"/>
                <w:highlight w:val="none"/>
              </w:rPr>
              <w:t xml:space="preserve"> </w:t>
            </w:r>
            <w:r>
              <w:rPr>
                <w:rFonts w:ascii="宋体" w:hAnsi="宋体" w:eastAsia="宋体" w:cs="宋体"/>
                <w:color w:val="auto"/>
                <w:spacing w:val="9"/>
                <w:sz w:val="20"/>
                <w:szCs w:val="20"/>
                <w:highlight w:val="none"/>
              </w:rPr>
              <w:t xml:space="preserve">的体现出营业执照（或事业单位法人证书或社 会团体法人登记证书或民办非企业单位登记证 书）和税务登记证的全部内容。已办理“三证 </w:t>
            </w:r>
            <w:r>
              <w:rPr>
                <w:rFonts w:ascii="宋体" w:hAnsi="宋体" w:eastAsia="宋体" w:cs="宋体"/>
                <w:color w:val="auto"/>
                <w:spacing w:val="8"/>
                <w:sz w:val="20"/>
                <w:szCs w:val="20"/>
                <w:highlight w:val="none"/>
              </w:rPr>
              <w:t>合一</w:t>
            </w:r>
            <w:r>
              <w:rPr>
                <w:rFonts w:ascii="宋体" w:hAnsi="宋体" w:eastAsia="宋体" w:cs="宋体"/>
                <w:color w:val="auto"/>
                <w:spacing w:val="-69"/>
                <w:sz w:val="20"/>
                <w:szCs w:val="20"/>
                <w:highlight w:val="none"/>
              </w:rPr>
              <w:t xml:space="preserve"> </w:t>
            </w:r>
            <w:r>
              <w:rPr>
                <w:rFonts w:ascii="宋体" w:hAnsi="宋体" w:eastAsia="宋体" w:cs="宋体"/>
                <w:color w:val="auto"/>
                <w:spacing w:val="8"/>
                <w:sz w:val="20"/>
                <w:szCs w:val="20"/>
                <w:highlight w:val="none"/>
              </w:rPr>
              <w:t>”登记的，响应文件中提供营业执照（或</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事业单位法人证书或社会团体法人登记证书或 民办非企业单位登记证书）扫描件即可。联合</w:t>
            </w:r>
            <w:r>
              <w:rPr>
                <w:rFonts w:ascii="宋体" w:hAnsi="宋体" w:eastAsia="宋体" w:cs="宋体"/>
                <w:color w:val="auto"/>
                <w:spacing w:val="8"/>
                <w:sz w:val="20"/>
                <w:szCs w:val="20"/>
                <w:highlight w:val="none"/>
              </w:rPr>
              <w:t>体磋商的联合体各方均须提供。</w:t>
            </w:r>
          </w:p>
        </w:tc>
      </w:tr>
      <w:tr w14:paraId="46C1C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0" w:hRule="atLeast"/>
        </w:trPr>
        <w:tc>
          <w:tcPr>
            <w:tcW w:w="697" w:type="dxa"/>
            <w:vAlign w:val="top"/>
          </w:tcPr>
          <w:p w14:paraId="20F78A16">
            <w:pPr>
              <w:spacing w:line="241" w:lineRule="auto"/>
              <w:rPr>
                <w:rFonts w:ascii="Arial"/>
                <w:color w:val="auto"/>
                <w:sz w:val="21"/>
                <w:highlight w:val="none"/>
              </w:rPr>
            </w:pPr>
          </w:p>
          <w:p w14:paraId="127F6F71">
            <w:pPr>
              <w:spacing w:line="241" w:lineRule="auto"/>
              <w:rPr>
                <w:rFonts w:ascii="Arial"/>
                <w:color w:val="auto"/>
                <w:sz w:val="21"/>
                <w:highlight w:val="none"/>
              </w:rPr>
            </w:pPr>
          </w:p>
          <w:p w14:paraId="76937C23">
            <w:pPr>
              <w:spacing w:line="241" w:lineRule="auto"/>
              <w:rPr>
                <w:rFonts w:ascii="Arial"/>
                <w:color w:val="auto"/>
                <w:sz w:val="21"/>
                <w:highlight w:val="none"/>
              </w:rPr>
            </w:pPr>
          </w:p>
          <w:p w14:paraId="24060C74">
            <w:pPr>
              <w:spacing w:line="241" w:lineRule="auto"/>
              <w:rPr>
                <w:rFonts w:ascii="Arial"/>
                <w:color w:val="auto"/>
                <w:sz w:val="21"/>
                <w:highlight w:val="none"/>
              </w:rPr>
            </w:pPr>
          </w:p>
          <w:p w14:paraId="0A44061A">
            <w:pPr>
              <w:spacing w:line="242" w:lineRule="auto"/>
              <w:rPr>
                <w:rFonts w:ascii="Arial"/>
                <w:color w:val="auto"/>
                <w:sz w:val="21"/>
                <w:highlight w:val="none"/>
              </w:rPr>
            </w:pPr>
          </w:p>
          <w:p w14:paraId="3AC730C9">
            <w:pPr>
              <w:spacing w:before="65" w:line="189" w:lineRule="auto"/>
              <w:ind w:left="308"/>
              <w:rPr>
                <w:rFonts w:ascii="宋体" w:hAnsi="宋体" w:eastAsia="宋体" w:cs="宋体"/>
                <w:color w:val="auto"/>
                <w:sz w:val="20"/>
                <w:szCs w:val="20"/>
                <w:highlight w:val="none"/>
              </w:rPr>
            </w:pPr>
            <w:r>
              <w:rPr>
                <w:rFonts w:ascii="宋体" w:hAnsi="宋体" w:eastAsia="宋体" w:cs="宋体"/>
                <w:color w:val="auto"/>
                <w:sz w:val="20"/>
                <w:szCs w:val="20"/>
                <w:highlight w:val="none"/>
              </w:rPr>
              <w:t>2</w:t>
            </w:r>
          </w:p>
        </w:tc>
        <w:tc>
          <w:tcPr>
            <w:tcW w:w="1569" w:type="dxa"/>
            <w:vAlign w:val="top"/>
          </w:tcPr>
          <w:p w14:paraId="47A0BFAB">
            <w:pPr>
              <w:spacing w:line="243" w:lineRule="auto"/>
              <w:rPr>
                <w:rFonts w:ascii="Arial"/>
                <w:color w:val="auto"/>
                <w:sz w:val="21"/>
                <w:highlight w:val="none"/>
              </w:rPr>
            </w:pPr>
          </w:p>
          <w:p w14:paraId="0480C86F">
            <w:pPr>
              <w:spacing w:line="243" w:lineRule="auto"/>
              <w:rPr>
                <w:rFonts w:ascii="Arial"/>
                <w:color w:val="auto"/>
                <w:sz w:val="21"/>
                <w:highlight w:val="none"/>
              </w:rPr>
            </w:pPr>
          </w:p>
          <w:p w14:paraId="240F1043">
            <w:pPr>
              <w:spacing w:line="243" w:lineRule="auto"/>
              <w:rPr>
                <w:rFonts w:ascii="Arial"/>
                <w:color w:val="auto"/>
                <w:sz w:val="21"/>
                <w:highlight w:val="none"/>
              </w:rPr>
            </w:pPr>
          </w:p>
          <w:p w14:paraId="4B79DF2A">
            <w:pPr>
              <w:spacing w:line="243" w:lineRule="auto"/>
              <w:rPr>
                <w:rFonts w:ascii="Arial"/>
                <w:color w:val="auto"/>
                <w:sz w:val="21"/>
                <w:highlight w:val="none"/>
              </w:rPr>
            </w:pPr>
          </w:p>
          <w:p w14:paraId="0CB30BC4">
            <w:pPr>
              <w:spacing w:line="244" w:lineRule="auto"/>
              <w:rPr>
                <w:rFonts w:ascii="Arial"/>
                <w:color w:val="auto"/>
                <w:sz w:val="21"/>
                <w:highlight w:val="none"/>
              </w:rPr>
            </w:pPr>
          </w:p>
          <w:p w14:paraId="2692D1D9">
            <w:pPr>
              <w:spacing w:before="65" w:line="228" w:lineRule="auto"/>
              <w:ind w:left="26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税务登记证</w:t>
            </w:r>
          </w:p>
        </w:tc>
        <w:tc>
          <w:tcPr>
            <w:tcW w:w="2544" w:type="dxa"/>
            <w:vAlign w:val="top"/>
          </w:tcPr>
          <w:p w14:paraId="5C38A075">
            <w:pPr>
              <w:spacing w:line="243" w:lineRule="auto"/>
              <w:rPr>
                <w:rFonts w:ascii="Arial"/>
                <w:color w:val="auto"/>
                <w:sz w:val="21"/>
                <w:highlight w:val="none"/>
              </w:rPr>
            </w:pPr>
          </w:p>
          <w:p w14:paraId="1492E953">
            <w:pPr>
              <w:spacing w:line="243" w:lineRule="auto"/>
              <w:rPr>
                <w:rFonts w:ascii="Arial"/>
                <w:color w:val="auto"/>
                <w:sz w:val="21"/>
                <w:highlight w:val="none"/>
              </w:rPr>
            </w:pPr>
          </w:p>
          <w:p w14:paraId="23787644">
            <w:pPr>
              <w:spacing w:line="243" w:lineRule="auto"/>
              <w:rPr>
                <w:rFonts w:ascii="Arial"/>
                <w:color w:val="auto"/>
                <w:sz w:val="21"/>
                <w:highlight w:val="none"/>
              </w:rPr>
            </w:pPr>
          </w:p>
          <w:p w14:paraId="2F770B6C">
            <w:pPr>
              <w:spacing w:line="244" w:lineRule="auto"/>
              <w:rPr>
                <w:rFonts w:ascii="Arial"/>
                <w:color w:val="auto"/>
                <w:sz w:val="21"/>
                <w:highlight w:val="none"/>
              </w:rPr>
            </w:pPr>
          </w:p>
          <w:p w14:paraId="10D7E990">
            <w:pPr>
              <w:spacing w:line="244" w:lineRule="auto"/>
              <w:rPr>
                <w:rFonts w:ascii="Arial"/>
                <w:color w:val="auto"/>
                <w:sz w:val="21"/>
                <w:highlight w:val="none"/>
              </w:rPr>
            </w:pPr>
          </w:p>
          <w:p w14:paraId="1A597019">
            <w:pPr>
              <w:spacing w:before="65" w:line="228" w:lineRule="auto"/>
              <w:ind w:left="86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合法有效</w:t>
            </w:r>
          </w:p>
        </w:tc>
        <w:tc>
          <w:tcPr>
            <w:tcW w:w="4480" w:type="dxa"/>
            <w:vMerge w:val="continue"/>
            <w:tcBorders>
              <w:top w:val="nil"/>
            </w:tcBorders>
            <w:vAlign w:val="top"/>
          </w:tcPr>
          <w:p w14:paraId="0FDA75D9">
            <w:pPr>
              <w:rPr>
                <w:rFonts w:ascii="Arial"/>
                <w:color w:val="auto"/>
                <w:sz w:val="21"/>
                <w:highlight w:val="none"/>
              </w:rPr>
            </w:pPr>
          </w:p>
        </w:tc>
      </w:tr>
      <w:tr w14:paraId="481EC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97" w:type="dxa"/>
            <w:vAlign w:val="top"/>
          </w:tcPr>
          <w:p w14:paraId="6EAF453F">
            <w:pPr>
              <w:spacing w:line="247" w:lineRule="auto"/>
              <w:rPr>
                <w:rFonts w:ascii="Arial"/>
                <w:color w:val="auto"/>
                <w:sz w:val="21"/>
                <w:highlight w:val="none"/>
              </w:rPr>
            </w:pPr>
          </w:p>
          <w:p w14:paraId="3E7A9227">
            <w:pPr>
              <w:spacing w:line="248" w:lineRule="auto"/>
              <w:rPr>
                <w:rFonts w:ascii="Arial"/>
                <w:color w:val="auto"/>
                <w:sz w:val="21"/>
                <w:highlight w:val="none"/>
              </w:rPr>
            </w:pPr>
          </w:p>
          <w:p w14:paraId="6FE0AB43">
            <w:pPr>
              <w:spacing w:before="65" w:line="189" w:lineRule="auto"/>
              <w:ind w:left="310"/>
              <w:rPr>
                <w:rFonts w:ascii="宋体" w:hAnsi="宋体" w:eastAsia="宋体" w:cs="宋体"/>
                <w:color w:val="auto"/>
                <w:sz w:val="20"/>
                <w:szCs w:val="20"/>
                <w:highlight w:val="none"/>
              </w:rPr>
            </w:pPr>
            <w:r>
              <w:rPr>
                <w:rFonts w:ascii="宋体" w:hAnsi="宋体" w:eastAsia="宋体" w:cs="宋体"/>
                <w:color w:val="auto"/>
                <w:sz w:val="20"/>
                <w:szCs w:val="20"/>
                <w:highlight w:val="none"/>
              </w:rPr>
              <w:t>3</w:t>
            </w:r>
          </w:p>
        </w:tc>
        <w:tc>
          <w:tcPr>
            <w:tcW w:w="1569" w:type="dxa"/>
            <w:vAlign w:val="top"/>
          </w:tcPr>
          <w:p w14:paraId="2EB89DDC">
            <w:pPr>
              <w:spacing w:line="298" w:lineRule="auto"/>
              <w:rPr>
                <w:rFonts w:ascii="Arial"/>
                <w:color w:val="auto"/>
                <w:sz w:val="21"/>
                <w:highlight w:val="none"/>
              </w:rPr>
            </w:pPr>
          </w:p>
          <w:p w14:paraId="4A78DBB2">
            <w:pPr>
              <w:spacing w:before="65" w:line="418" w:lineRule="auto"/>
              <w:ind w:right="25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不良信用记</w:t>
            </w:r>
            <w:r>
              <w:rPr>
                <w:rFonts w:ascii="宋体" w:hAnsi="宋体" w:eastAsia="宋体" w:cs="宋体"/>
                <w:color w:val="auto"/>
                <w:spacing w:val="1"/>
                <w:sz w:val="20"/>
                <w:szCs w:val="20"/>
                <w:highlight w:val="none"/>
              </w:rPr>
              <w:t xml:space="preserve"> </w:t>
            </w:r>
            <w:r>
              <w:rPr>
                <w:rFonts w:ascii="宋体" w:hAnsi="宋体" w:eastAsia="宋体" w:cs="宋体"/>
                <w:color w:val="auto"/>
                <w:spacing w:val="6"/>
                <w:sz w:val="20"/>
                <w:szCs w:val="20"/>
                <w:highlight w:val="none"/>
              </w:rPr>
              <w:t>录查询</w:t>
            </w:r>
          </w:p>
        </w:tc>
        <w:tc>
          <w:tcPr>
            <w:tcW w:w="2544" w:type="dxa"/>
            <w:vAlign w:val="top"/>
          </w:tcPr>
          <w:p w14:paraId="5E1CE077">
            <w:pPr>
              <w:spacing w:before="130" w:line="390" w:lineRule="auto"/>
              <w:ind w:left="115" w:right="124" w:firstLine="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响应人不得存在竞争性磋</w:t>
            </w:r>
            <w:r>
              <w:rPr>
                <w:rFonts w:ascii="宋体" w:hAnsi="宋体" w:eastAsia="宋体" w:cs="宋体"/>
                <w:color w:val="auto"/>
                <w:spacing w:val="6"/>
                <w:sz w:val="20"/>
                <w:szCs w:val="20"/>
                <w:highlight w:val="none"/>
              </w:rPr>
              <w:t>商须知正文第 21.3.1.1</w:t>
            </w:r>
            <w:r>
              <w:rPr>
                <w:rFonts w:ascii="宋体" w:hAnsi="宋体" w:eastAsia="宋体" w:cs="宋体"/>
                <w:color w:val="auto"/>
                <w:spacing w:val="1"/>
                <w:sz w:val="20"/>
                <w:szCs w:val="20"/>
                <w:highlight w:val="none"/>
              </w:rPr>
              <w:t xml:space="preserve"> </w:t>
            </w:r>
            <w:r>
              <w:rPr>
                <w:rFonts w:ascii="宋体" w:hAnsi="宋体" w:eastAsia="宋体" w:cs="宋体"/>
                <w:color w:val="auto"/>
                <w:spacing w:val="9"/>
                <w:sz w:val="20"/>
                <w:szCs w:val="20"/>
                <w:highlight w:val="none"/>
              </w:rPr>
              <w:t>条中的不良信用记录情形</w:t>
            </w:r>
          </w:p>
        </w:tc>
        <w:tc>
          <w:tcPr>
            <w:tcW w:w="4480" w:type="dxa"/>
            <w:vAlign w:val="top"/>
          </w:tcPr>
          <w:p w14:paraId="4CB841EB">
            <w:pPr>
              <w:spacing w:line="264" w:lineRule="auto"/>
              <w:rPr>
                <w:rFonts w:ascii="Arial"/>
                <w:color w:val="auto"/>
                <w:sz w:val="21"/>
                <w:highlight w:val="none"/>
              </w:rPr>
            </w:pPr>
          </w:p>
          <w:p w14:paraId="38D14516">
            <w:pPr>
              <w:spacing w:line="265" w:lineRule="auto"/>
              <w:rPr>
                <w:rFonts w:ascii="Arial"/>
                <w:color w:val="auto"/>
                <w:sz w:val="21"/>
                <w:highlight w:val="none"/>
              </w:rPr>
            </w:pPr>
          </w:p>
          <w:p w14:paraId="1F379A4A">
            <w:pPr>
              <w:spacing w:before="65" w:line="228" w:lineRule="auto"/>
              <w:ind w:left="30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详见竞争性磋商须知正文第</w:t>
            </w:r>
            <w:r>
              <w:rPr>
                <w:rFonts w:ascii="宋体" w:hAnsi="宋体" w:eastAsia="宋体" w:cs="宋体"/>
                <w:color w:val="auto"/>
                <w:spacing w:val="-16"/>
                <w:sz w:val="20"/>
                <w:szCs w:val="20"/>
                <w:highlight w:val="none"/>
              </w:rPr>
              <w:t xml:space="preserve"> </w:t>
            </w:r>
            <w:r>
              <w:rPr>
                <w:rFonts w:ascii="宋体" w:hAnsi="宋体" w:eastAsia="宋体" w:cs="宋体"/>
                <w:color w:val="auto"/>
                <w:spacing w:val="6"/>
                <w:sz w:val="20"/>
                <w:szCs w:val="20"/>
                <w:highlight w:val="none"/>
              </w:rPr>
              <w:t>21.3.1</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条要求</w:t>
            </w:r>
          </w:p>
        </w:tc>
      </w:tr>
      <w:tr w14:paraId="794B9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697" w:type="dxa"/>
            <w:vAlign w:val="top"/>
          </w:tcPr>
          <w:p w14:paraId="55AB818D">
            <w:pPr>
              <w:spacing w:line="248" w:lineRule="auto"/>
              <w:rPr>
                <w:rFonts w:ascii="Arial"/>
                <w:color w:val="auto"/>
                <w:sz w:val="21"/>
                <w:highlight w:val="none"/>
              </w:rPr>
            </w:pPr>
          </w:p>
          <w:p w14:paraId="4A59E03F">
            <w:pPr>
              <w:spacing w:line="248" w:lineRule="auto"/>
              <w:rPr>
                <w:rFonts w:ascii="Arial"/>
                <w:color w:val="auto"/>
                <w:sz w:val="21"/>
                <w:highlight w:val="none"/>
              </w:rPr>
            </w:pPr>
          </w:p>
          <w:p w14:paraId="773919B8">
            <w:pPr>
              <w:spacing w:before="65" w:line="189" w:lineRule="auto"/>
              <w:ind w:left="305"/>
              <w:rPr>
                <w:rFonts w:ascii="宋体" w:hAnsi="宋体" w:eastAsia="宋体" w:cs="宋体"/>
                <w:color w:val="auto"/>
                <w:sz w:val="20"/>
                <w:szCs w:val="20"/>
                <w:highlight w:val="none"/>
              </w:rPr>
            </w:pPr>
            <w:r>
              <w:rPr>
                <w:rFonts w:ascii="宋体" w:hAnsi="宋体" w:eastAsia="宋体" w:cs="宋体"/>
                <w:color w:val="auto"/>
                <w:sz w:val="20"/>
                <w:szCs w:val="20"/>
                <w:highlight w:val="none"/>
              </w:rPr>
              <w:t>4</w:t>
            </w:r>
          </w:p>
        </w:tc>
        <w:tc>
          <w:tcPr>
            <w:tcW w:w="1569" w:type="dxa"/>
            <w:vAlign w:val="top"/>
          </w:tcPr>
          <w:p w14:paraId="2164D8B1">
            <w:pPr>
              <w:spacing w:line="266" w:lineRule="auto"/>
              <w:rPr>
                <w:rFonts w:ascii="Arial"/>
                <w:color w:val="auto"/>
                <w:sz w:val="21"/>
                <w:highlight w:val="none"/>
              </w:rPr>
            </w:pPr>
          </w:p>
          <w:p w14:paraId="23835E3A">
            <w:pPr>
              <w:spacing w:line="266" w:lineRule="auto"/>
              <w:rPr>
                <w:rFonts w:ascii="Arial"/>
                <w:color w:val="auto"/>
                <w:sz w:val="21"/>
                <w:highlight w:val="none"/>
              </w:rPr>
            </w:pPr>
          </w:p>
          <w:p w14:paraId="5829E3E4">
            <w:pPr>
              <w:spacing w:before="65" w:line="227"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供应商声明函</w:t>
            </w:r>
          </w:p>
        </w:tc>
        <w:tc>
          <w:tcPr>
            <w:tcW w:w="2544" w:type="dxa"/>
            <w:vAlign w:val="top"/>
          </w:tcPr>
          <w:p w14:paraId="1486132E">
            <w:pPr>
              <w:spacing w:before="133" w:line="389" w:lineRule="auto"/>
              <w:ind w:left="113" w:right="124"/>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格式、填写要求符合磋商</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文件规定并加盖响应人电</w:t>
            </w:r>
            <w:r>
              <w:rPr>
                <w:rFonts w:ascii="宋体" w:hAnsi="宋体" w:eastAsia="宋体" w:cs="宋体"/>
                <w:color w:val="auto"/>
                <w:spacing w:val="6"/>
                <w:sz w:val="20"/>
                <w:szCs w:val="20"/>
                <w:highlight w:val="none"/>
              </w:rPr>
              <w:t>子签章</w:t>
            </w:r>
          </w:p>
        </w:tc>
        <w:tc>
          <w:tcPr>
            <w:tcW w:w="4480" w:type="dxa"/>
            <w:vAlign w:val="top"/>
          </w:tcPr>
          <w:p w14:paraId="28F93646">
            <w:pPr>
              <w:spacing w:line="266" w:lineRule="auto"/>
              <w:rPr>
                <w:rFonts w:ascii="Arial"/>
                <w:color w:val="auto"/>
                <w:sz w:val="21"/>
                <w:highlight w:val="none"/>
              </w:rPr>
            </w:pPr>
          </w:p>
          <w:p w14:paraId="75BA49B1">
            <w:pPr>
              <w:spacing w:line="266" w:lineRule="auto"/>
              <w:rPr>
                <w:rFonts w:ascii="Arial"/>
                <w:color w:val="auto"/>
                <w:sz w:val="21"/>
                <w:highlight w:val="none"/>
              </w:rPr>
            </w:pPr>
          </w:p>
          <w:p w14:paraId="019B54CA">
            <w:pPr>
              <w:spacing w:before="65" w:line="227" w:lineRule="auto"/>
              <w:ind w:left="10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详见第六章响应文件格式</w:t>
            </w:r>
          </w:p>
        </w:tc>
      </w:tr>
      <w:tr w14:paraId="36746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97" w:type="dxa"/>
            <w:vAlign w:val="top"/>
          </w:tcPr>
          <w:p w14:paraId="383C5BF1">
            <w:pPr>
              <w:spacing w:line="261" w:lineRule="auto"/>
              <w:rPr>
                <w:rFonts w:ascii="Arial"/>
                <w:color w:val="auto"/>
                <w:sz w:val="21"/>
                <w:highlight w:val="none"/>
              </w:rPr>
            </w:pPr>
          </w:p>
          <w:p w14:paraId="59073862">
            <w:pPr>
              <w:spacing w:line="262" w:lineRule="auto"/>
              <w:rPr>
                <w:rFonts w:ascii="Arial"/>
                <w:color w:val="auto"/>
                <w:sz w:val="21"/>
                <w:highlight w:val="none"/>
              </w:rPr>
            </w:pPr>
          </w:p>
          <w:p w14:paraId="756BF9BE">
            <w:pPr>
              <w:spacing w:before="65" w:line="187" w:lineRule="auto"/>
              <w:ind w:left="310"/>
              <w:rPr>
                <w:rFonts w:ascii="宋体" w:hAnsi="宋体" w:eastAsia="宋体" w:cs="宋体"/>
                <w:color w:val="auto"/>
                <w:sz w:val="20"/>
                <w:szCs w:val="20"/>
                <w:highlight w:val="none"/>
              </w:rPr>
            </w:pPr>
            <w:r>
              <w:rPr>
                <w:rFonts w:ascii="宋体" w:hAnsi="宋体" w:eastAsia="宋体" w:cs="宋体"/>
                <w:color w:val="auto"/>
                <w:sz w:val="20"/>
                <w:szCs w:val="20"/>
                <w:highlight w:val="none"/>
              </w:rPr>
              <w:t>5</w:t>
            </w:r>
          </w:p>
        </w:tc>
        <w:tc>
          <w:tcPr>
            <w:tcW w:w="1569" w:type="dxa"/>
            <w:vAlign w:val="top"/>
          </w:tcPr>
          <w:p w14:paraId="79E222C6">
            <w:pPr>
              <w:spacing w:line="300" w:lineRule="auto"/>
              <w:rPr>
                <w:rFonts w:ascii="Arial"/>
                <w:color w:val="auto"/>
                <w:sz w:val="21"/>
                <w:highlight w:val="none"/>
              </w:rPr>
            </w:pPr>
          </w:p>
          <w:p w14:paraId="1FA774E1">
            <w:pPr>
              <w:spacing w:before="65" w:line="417" w:lineRule="auto"/>
              <w:ind w:right="15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 xml:space="preserve">申请人（供应 </w:t>
            </w:r>
            <w:r>
              <w:rPr>
                <w:rFonts w:ascii="宋体" w:hAnsi="宋体" w:eastAsia="宋体" w:cs="宋体"/>
                <w:color w:val="auto"/>
                <w:spacing w:val="6"/>
                <w:sz w:val="20"/>
                <w:szCs w:val="20"/>
                <w:highlight w:val="none"/>
              </w:rPr>
              <w:t>商）资格</w:t>
            </w:r>
          </w:p>
        </w:tc>
        <w:tc>
          <w:tcPr>
            <w:tcW w:w="2544" w:type="dxa"/>
            <w:vAlign w:val="top"/>
          </w:tcPr>
          <w:p w14:paraId="4534D09C">
            <w:pPr>
              <w:spacing w:before="135" w:line="404" w:lineRule="auto"/>
              <w:ind w:left="113" w:right="124" w:firstLine="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符合申请人（供应商）资</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格要求中本项目的特定资</w:t>
            </w:r>
            <w:r>
              <w:rPr>
                <w:rFonts w:ascii="宋体" w:hAnsi="宋体" w:eastAsia="宋体" w:cs="宋体"/>
                <w:color w:val="auto"/>
                <w:spacing w:val="6"/>
                <w:sz w:val="20"/>
                <w:szCs w:val="20"/>
                <w:highlight w:val="none"/>
              </w:rPr>
              <w:t>格要求</w:t>
            </w:r>
          </w:p>
        </w:tc>
        <w:tc>
          <w:tcPr>
            <w:tcW w:w="4480" w:type="dxa"/>
            <w:vAlign w:val="top"/>
          </w:tcPr>
          <w:p w14:paraId="10A2FD1B">
            <w:pPr>
              <w:spacing w:line="244" w:lineRule="auto"/>
              <w:rPr>
                <w:rFonts w:ascii="Arial"/>
                <w:color w:val="auto"/>
                <w:sz w:val="21"/>
                <w:highlight w:val="none"/>
              </w:rPr>
            </w:pPr>
          </w:p>
          <w:p w14:paraId="28FD6B60">
            <w:pPr>
              <w:spacing w:line="244" w:lineRule="auto"/>
              <w:rPr>
                <w:rFonts w:ascii="Arial"/>
                <w:color w:val="auto"/>
                <w:sz w:val="21"/>
                <w:highlight w:val="none"/>
              </w:rPr>
            </w:pPr>
          </w:p>
          <w:p w14:paraId="0782DC15">
            <w:pPr>
              <w:spacing w:before="65" w:line="226" w:lineRule="auto"/>
              <w:ind w:left="130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详见竞争性磋商公告</w:t>
            </w:r>
          </w:p>
        </w:tc>
      </w:tr>
      <w:tr w14:paraId="06456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97" w:type="dxa"/>
            <w:vAlign w:val="top"/>
          </w:tcPr>
          <w:p w14:paraId="084A74E3">
            <w:pPr>
              <w:spacing w:before="122" w:line="189" w:lineRule="auto"/>
              <w:ind w:left="307"/>
              <w:rPr>
                <w:rFonts w:ascii="宋体" w:hAnsi="宋体" w:eastAsia="宋体" w:cs="宋体"/>
                <w:color w:val="auto"/>
                <w:sz w:val="20"/>
                <w:szCs w:val="20"/>
                <w:highlight w:val="none"/>
              </w:rPr>
            </w:pPr>
            <w:r>
              <w:rPr>
                <w:rFonts w:ascii="宋体" w:hAnsi="宋体" w:eastAsia="宋体" w:cs="宋体"/>
                <w:color w:val="auto"/>
                <w:sz w:val="20"/>
                <w:szCs w:val="20"/>
                <w:highlight w:val="none"/>
              </w:rPr>
              <w:t>6</w:t>
            </w:r>
          </w:p>
        </w:tc>
        <w:tc>
          <w:tcPr>
            <w:tcW w:w="1569" w:type="dxa"/>
            <w:vAlign w:val="top"/>
          </w:tcPr>
          <w:p w14:paraId="795DD9EC">
            <w:pPr>
              <w:spacing w:before="135" w:line="228"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磋商响应函</w:t>
            </w:r>
          </w:p>
        </w:tc>
        <w:tc>
          <w:tcPr>
            <w:tcW w:w="2544" w:type="dxa"/>
            <w:vAlign w:val="top"/>
          </w:tcPr>
          <w:p w14:paraId="22D58FF3">
            <w:pPr>
              <w:spacing w:before="88" w:line="228" w:lineRule="auto"/>
              <w:ind w:left="11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格式、填写要求符合磋商</w:t>
            </w:r>
          </w:p>
        </w:tc>
        <w:tc>
          <w:tcPr>
            <w:tcW w:w="4480" w:type="dxa"/>
            <w:vAlign w:val="top"/>
          </w:tcPr>
          <w:p w14:paraId="0F415A39">
            <w:pPr>
              <w:spacing w:before="89" w:line="227" w:lineRule="auto"/>
              <w:ind w:left="109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详见第六章响应文件格式</w:t>
            </w:r>
          </w:p>
        </w:tc>
      </w:tr>
    </w:tbl>
    <w:tbl>
      <w:tblPr>
        <w:tblStyle w:val="420"/>
        <w:tblpPr w:leftFromText="180" w:rightFromText="180" w:vertAnchor="text" w:horzAnchor="page" w:tblpX="1267" w:tblpY="122"/>
        <w:tblOverlap w:val="never"/>
        <w:tblW w:w="93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575"/>
        <w:gridCol w:w="2535"/>
        <w:gridCol w:w="4485"/>
      </w:tblGrid>
      <w:tr w14:paraId="1F2F64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05" w:type="dxa"/>
            <w:vAlign w:val="top"/>
          </w:tcPr>
          <w:p w14:paraId="195CE8EC">
            <w:pPr>
              <w:rPr>
                <w:rFonts w:ascii="Arial"/>
                <w:color w:val="auto"/>
                <w:sz w:val="21"/>
                <w:highlight w:val="none"/>
              </w:rPr>
            </w:pPr>
          </w:p>
        </w:tc>
        <w:tc>
          <w:tcPr>
            <w:tcW w:w="1575" w:type="dxa"/>
            <w:vAlign w:val="top"/>
          </w:tcPr>
          <w:p w14:paraId="78397204">
            <w:pPr>
              <w:rPr>
                <w:rFonts w:ascii="Arial"/>
                <w:color w:val="auto"/>
                <w:sz w:val="21"/>
                <w:highlight w:val="none"/>
              </w:rPr>
            </w:pPr>
          </w:p>
        </w:tc>
        <w:tc>
          <w:tcPr>
            <w:tcW w:w="2535" w:type="dxa"/>
            <w:vAlign w:val="top"/>
          </w:tcPr>
          <w:p w14:paraId="0895E4A1">
            <w:pPr>
              <w:spacing w:before="35" w:line="360" w:lineRule="auto"/>
              <w:ind w:left="114" w:right="1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文件规定并加盖响应人电</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子签章</w:t>
            </w:r>
          </w:p>
        </w:tc>
        <w:tc>
          <w:tcPr>
            <w:tcW w:w="4485" w:type="dxa"/>
            <w:vAlign w:val="top"/>
          </w:tcPr>
          <w:p w14:paraId="3E35733F">
            <w:pPr>
              <w:rPr>
                <w:rFonts w:ascii="Arial"/>
                <w:color w:val="auto"/>
                <w:sz w:val="21"/>
                <w:highlight w:val="none"/>
              </w:rPr>
            </w:pPr>
          </w:p>
        </w:tc>
      </w:tr>
      <w:tr w14:paraId="2EE70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8" w:hRule="atLeast"/>
        </w:trPr>
        <w:tc>
          <w:tcPr>
            <w:tcW w:w="705" w:type="dxa"/>
            <w:vAlign w:val="top"/>
          </w:tcPr>
          <w:p w14:paraId="29FF3F87">
            <w:pPr>
              <w:spacing w:line="261" w:lineRule="auto"/>
              <w:rPr>
                <w:rFonts w:ascii="Arial"/>
                <w:color w:val="auto"/>
                <w:sz w:val="21"/>
                <w:highlight w:val="none"/>
              </w:rPr>
            </w:pPr>
          </w:p>
          <w:p w14:paraId="2219BC32">
            <w:pPr>
              <w:spacing w:line="261" w:lineRule="auto"/>
              <w:rPr>
                <w:rFonts w:ascii="Arial"/>
                <w:color w:val="auto"/>
                <w:sz w:val="21"/>
                <w:highlight w:val="none"/>
              </w:rPr>
            </w:pPr>
          </w:p>
          <w:p w14:paraId="2DE3DB3A">
            <w:pPr>
              <w:spacing w:before="65" w:line="187" w:lineRule="auto"/>
              <w:ind w:left="310"/>
              <w:rPr>
                <w:rFonts w:ascii="宋体" w:hAnsi="宋体" w:eastAsia="宋体" w:cs="宋体"/>
                <w:color w:val="auto"/>
                <w:sz w:val="20"/>
                <w:szCs w:val="20"/>
                <w:highlight w:val="none"/>
              </w:rPr>
            </w:pPr>
            <w:r>
              <w:rPr>
                <w:rFonts w:ascii="宋体" w:hAnsi="宋体" w:eastAsia="宋体" w:cs="宋体"/>
                <w:color w:val="auto"/>
                <w:sz w:val="20"/>
                <w:szCs w:val="20"/>
                <w:highlight w:val="none"/>
              </w:rPr>
              <w:t>7</w:t>
            </w:r>
          </w:p>
        </w:tc>
        <w:tc>
          <w:tcPr>
            <w:tcW w:w="1575" w:type="dxa"/>
            <w:vAlign w:val="top"/>
          </w:tcPr>
          <w:p w14:paraId="57AC7335">
            <w:pPr>
              <w:spacing w:line="265" w:lineRule="auto"/>
              <w:rPr>
                <w:rFonts w:ascii="Arial"/>
                <w:color w:val="auto"/>
                <w:sz w:val="21"/>
                <w:highlight w:val="none"/>
              </w:rPr>
            </w:pPr>
          </w:p>
          <w:p w14:paraId="18E7F1FE">
            <w:pPr>
              <w:spacing w:line="265" w:lineRule="auto"/>
              <w:rPr>
                <w:rFonts w:ascii="Arial"/>
                <w:color w:val="auto"/>
                <w:sz w:val="21"/>
                <w:highlight w:val="none"/>
              </w:rPr>
            </w:pPr>
          </w:p>
          <w:p w14:paraId="37520757">
            <w:pPr>
              <w:spacing w:before="65" w:line="227" w:lineRule="auto"/>
              <w:ind w:left="47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授权书</w:t>
            </w:r>
          </w:p>
        </w:tc>
        <w:tc>
          <w:tcPr>
            <w:tcW w:w="2535" w:type="dxa"/>
            <w:vAlign w:val="top"/>
          </w:tcPr>
          <w:p w14:paraId="0B173B1C">
            <w:pPr>
              <w:spacing w:before="131" w:line="405" w:lineRule="auto"/>
              <w:ind w:left="113" w:right="124"/>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格式、填写要求符合磋商</w:t>
            </w:r>
            <w:r>
              <w:rPr>
                <w:rFonts w:ascii="宋体" w:hAnsi="宋体" w:eastAsia="宋体" w:cs="宋体"/>
                <w:color w:val="auto"/>
                <w:spacing w:val="9"/>
                <w:sz w:val="20"/>
                <w:szCs w:val="20"/>
                <w:highlight w:val="none"/>
              </w:rPr>
              <w:t xml:space="preserve"> 文件规定并加盖响应人电</w:t>
            </w:r>
            <w:r>
              <w:rPr>
                <w:rFonts w:ascii="宋体" w:hAnsi="宋体" w:eastAsia="宋体" w:cs="宋体"/>
                <w:color w:val="auto"/>
                <w:spacing w:val="6"/>
                <w:sz w:val="20"/>
                <w:szCs w:val="20"/>
                <w:highlight w:val="none"/>
              </w:rPr>
              <w:t>子签章</w:t>
            </w:r>
          </w:p>
        </w:tc>
        <w:tc>
          <w:tcPr>
            <w:tcW w:w="4485" w:type="dxa"/>
            <w:vAlign w:val="top"/>
          </w:tcPr>
          <w:p w14:paraId="2377CD44">
            <w:pPr>
              <w:spacing w:line="243" w:lineRule="auto"/>
              <w:rPr>
                <w:rFonts w:ascii="Arial"/>
                <w:color w:val="auto"/>
                <w:sz w:val="21"/>
                <w:highlight w:val="none"/>
              </w:rPr>
            </w:pPr>
          </w:p>
          <w:p w14:paraId="44C45493">
            <w:pPr>
              <w:spacing w:line="244" w:lineRule="auto"/>
              <w:rPr>
                <w:rFonts w:ascii="Arial"/>
                <w:color w:val="auto"/>
                <w:sz w:val="21"/>
                <w:highlight w:val="none"/>
              </w:rPr>
            </w:pPr>
          </w:p>
          <w:p w14:paraId="381D904D">
            <w:pPr>
              <w:spacing w:before="65" w:line="227" w:lineRule="auto"/>
              <w:ind w:left="116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详见第六章响应文件格式</w:t>
            </w:r>
          </w:p>
        </w:tc>
      </w:tr>
      <w:tr w14:paraId="4A6D1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705" w:type="dxa"/>
            <w:vAlign w:val="top"/>
          </w:tcPr>
          <w:p w14:paraId="35C04AF1">
            <w:pPr>
              <w:spacing w:line="406" w:lineRule="auto"/>
              <w:rPr>
                <w:rFonts w:ascii="Arial"/>
                <w:color w:val="auto"/>
                <w:sz w:val="21"/>
                <w:highlight w:val="none"/>
              </w:rPr>
            </w:pPr>
          </w:p>
          <w:p w14:paraId="248B5EA1">
            <w:pPr>
              <w:spacing w:before="65" w:line="189" w:lineRule="auto"/>
              <w:ind w:left="306"/>
              <w:rPr>
                <w:rFonts w:ascii="宋体" w:hAnsi="宋体" w:eastAsia="宋体" w:cs="宋体"/>
                <w:color w:val="auto"/>
                <w:sz w:val="20"/>
                <w:szCs w:val="20"/>
                <w:highlight w:val="none"/>
              </w:rPr>
            </w:pPr>
            <w:r>
              <w:rPr>
                <w:rFonts w:ascii="宋体" w:hAnsi="宋体" w:eastAsia="宋体" w:cs="宋体"/>
                <w:color w:val="auto"/>
                <w:sz w:val="20"/>
                <w:szCs w:val="20"/>
                <w:highlight w:val="none"/>
              </w:rPr>
              <w:t>8</w:t>
            </w:r>
          </w:p>
        </w:tc>
        <w:tc>
          <w:tcPr>
            <w:tcW w:w="1575" w:type="dxa"/>
            <w:vAlign w:val="top"/>
          </w:tcPr>
          <w:p w14:paraId="4ED66A79">
            <w:pPr>
              <w:spacing w:before="248" w:line="418" w:lineRule="auto"/>
              <w:ind w:right="15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响应文件机器</w:t>
            </w:r>
            <w:r>
              <w:rPr>
                <w:rFonts w:ascii="宋体" w:hAnsi="宋体" w:eastAsia="宋体" w:cs="宋体"/>
                <w:color w:val="auto"/>
                <w:spacing w:val="7"/>
                <w:sz w:val="20"/>
                <w:szCs w:val="20"/>
                <w:highlight w:val="none"/>
              </w:rPr>
              <w:t>识别码查询</w:t>
            </w:r>
          </w:p>
        </w:tc>
        <w:tc>
          <w:tcPr>
            <w:tcW w:w="2535" w:type="dxa"/>
            <w:vAlign w:val="top"/>
          </w:tcPr>
          <w:p w14:paraId="62B32DBD">
            <w:pPr>
              <w:spacing w:before="33" w:line="365" w:lineRule="auto"/>
              <w:ind w:left="112" w:right="124" w:firstLine="4"/>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不同供应商响应文件创建</w:t>
            </w:r>
            <w:r>
              <w:rPr>
                <w:rFonts w:ascii="宋体" w:hAnsi="宋体" w:eastAsia="宋体" w:cs="宋体"/>
                <w:color w:val="auto"/>
                <w:spacing w:val="6"/>
                <w:sz w:val="20"/>
                <w:szCs w:val="20"/>
                <w:highlight w:val="none"/>
              </w:rPr>
              <w:t xml:space="preserve"> </w:t>
            </w:r>
            <w:r>
              <w:rPr>
                <w:rFonts w:ascii="宋体" w:hAnsi="宋体" w:eastAsia="宋体" w:cs="宋体"/>
                <w:color w:val="auto"/>
                <w:spacing w:val="9"/>
                <w:sz w:val="20"/>
                <w:szCs w:val="20"/>
                <w:highlight w:val="none"/>
              </w:rPr>
              <w:t>标识码、文件制作机器码</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任一项都不相同</w:t>
            </w:r>
          </w:p>
        </w:tc>
        <w:tc>
          <w:tcPr>
            <w:tcW w:w="4485" w:type="dxa"/>
            <w:vAlign w:val="top"/>
          </w:tcPr>
          <w:p w14:paraId="11E8AB17">
            <w:pPr>
              <w:rPr>
                <w:rFonts w:ascii="Arial"/>
                <w:color w:val="auto"/>
                <w:sz w:val="21"/>
                <w:highlight w:val="none"/>
              </w:rPr>
            </w:pPr>
          </w:p>
        </w:tc>
      </w:tr>
      <w:tr w14:paraId="39D22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05" w:type="dxa"/>
            <w:vAlign w:val="top"/>
          </w:tcPr>
          <w:p w14:paraId="255C43F6">
            <w:pPr>
              <w:spacing w:before="271" w:line="189" w:lineRule="auto"/>
              <w:ind w:left="306"/>
              <w:rPr>
                <w:rFonts w:ascii="宋体" w:hAnsi="宋体" w:eastAsia="宋体" w:cs="宋体"/>
                <w:color w:val="auto"/>
                <w:sz w:val="20"/>
                <w:szCs w:val="20"/>
                <w:highlight w:val="none"/>
              </w:rPr>
            </w:pPr>
            <w:r>
              <w:rPr>
                <w:rFonts w:ascii="宋体" w:hAnsi="宋体" w:eastAsia="宋体" w:cs="宋体"/>
                <w:color w:val="auto"/>
                <w:sz w:val="20"/>
                <w:szCs w:val="20"/>
                <w:highlight w:val="none"/>
              </w:rPr>
              <w:t>9</w:t>
            </w:r>
          </w:p>
        </w:tc>
        <w:tc>
          <w:tcPr>
            <w:tcW w:w="1575" w:type="dxa"/>
            <w:vAlign w:val="top"/>
          </w:tcPr>
          <w:p w14:paraId="02E23DCA">
            <w:pPr>
              <w:spacing w:before="281" w:line="226" w:lineRule="auto"/>
              <w:ind w:left="37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磋商报价</w:t>
            </w:r>
          </w:p>
        </w:tc>
        <w:tc>
          <w:tcPr>
            <w:tcW w:w="2535" w:type="dxa"/>
            <w:vAlign w:val="top"/>
          </w:tcPr>
          <w:p w14:paraId="509A7E17">
            <w:pPr>
              <w:spacing w:before="34" w:line="359" w:lineRule="auto"/>
              <w:ind w:left="117" w:right="124" w:hanging="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符合磋商文件供应商须知</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正文第</w:t>
            </w:r>
            <w:r>
              <w:rPr>
                <w:rFonts w:ascii="宋体" w:hAnsi="宋体" w:eastAsia="宋体" w:cs="宋体"/>
                <w:color w:val="auto"/>
                <w:spacing w:val="29"/>
                <w:sz w:val="20"/>
                <w:szCs w:val="20"/>
                <w:highlight w:val="none"/>
              </w:rPr>
              <w:t xml:space="preserve"> </w:t>
            </w:r>
            <w:r>
              <w:rPr>
                <w:rFonts w:ascii="宋体" w:hAnsi="宋体" w:eastAsia="宋体" w:cs="宋体"/>
                <w:color w:val="auto"/>
                <w:spacing w:val="4"/>
                <w:sz w:val="20"/>
                <w:szCs w:val="20"/>
                <w:highlight w:val="none"/>
              </w:rPr>
              <w:t>10 条要求</w:t>
            </w:r>
          </w:p>
        </w:tc>
        <w:tc>
          <w:tcPr>
            <w:tcW w:w="4485" w:type="dxa"/>
            <w:vAlign w:val="top"/>
          </w:tcPr>
          <w:p w14:paraId="213C30F6">
            <w:pPr>
              <w:spacing w:before="305" w:line="227" w:lineRule="auto"/>
              <w:ind w:left="10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详见第六章响应文件格式</w:t>
            </w:r>
          </w:p>
        </w:tc>
      </w:tr>
      <w:tr w14:paraId="33E5E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705" w:type="dxa"/>
            <w:vAlign w:val="top"/>
          </w:tcPr>
          <w:p w14:paraId="72F18D6C">
            <w:pPr>
              <w:spacing w:line="285" w:lineRule="auto"/>
              <w:rPr>
                <w:rFonts w:ascii="Arial"/>
                <w:color w:val="auto"/>
                <w:sz w:val="21"/>
                <w:highlight w:val="none"/>
              </w:rPr>
            </w:pPr>
          </w:p>
          <w:p w14:paraId="2A40A4FC">
            <w:pPr>
              <w:spacing w:before="65" w:line="190" w:lineRule="auto"/>
              <w:ind w:left="26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w:t>
            </w:r>
          </w:p>
        </w:tc>
        <w:tc>
          <w:tcPr>
            <w:tcW w:w="1575" w:type="dxa"/>
            <w:vAlign w:val="top"/>
          </w:tcPr>
          <w:p w14:paraId="766D9B32">
            <w:pPr>
              <w:spacing w:before="131" w:line="392" w:lineRule="auto"/>
              <w:ind w:left="583" w:right="151" w:hanging="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服务需求响应</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情况</w:t>
            </w:r>
          </w:p>
        </w:tc>
        <w:tc>
          <w:tcPr>
            <w:tcW w:w="2535" w:type="dxa"/>
            <w:vAlign w:val="top"/>
          </w:tcPr>
          <w:p w14:paraId="21558594">
            <w:pPr>
              <w:spacing w:line="254" w:lineRule="auto"/>
              <w:rPr>
                <w:rFonts w:ascii="Arial"/>
                <w:color w:val="auto"/>
                <w:sz w:val="21"/>
                <w:highlight w:val="none"/>
              </w:rPr>
            </w:pPr>
          </w:p>
          <w:p w14:paraId="6BA4A036">
            <w:pPr>
              <w:spacing w:before="65" w:line="227" w:lineRule="auto"/>
              <w:ind w:left="11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符合磋商文件采购需求</w:t>
            </w:r>
          </w:p>
        </w:tc>
        <w:tc>
          <w:tcPr>
            <w:tcW w:w="4485" w:type="dxa"/>
            <w:vAlign w:val="top"/>
          </w:tcPr>
          <w:p w14:paraId="43443175">
            <w:pPr>
              <w:spacing w:line="323" w:lineRule="auto"/>
              <w:rPr>
                <w:rFonts w:ascii="Arial"/>
                <w:color w:val="auto"/>
                <w:sz w:val="21"/>
                <w:highlight w:val="none"/>
              </w:rPr>
            </w:pPr>
          </w:p>
          <w:p w14:paraId="5F085415">
            <w:pPr>
              <w:spacing w:before="65" w:line="227" w:lineRule="auto"/>
              <w:ind w:left="10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详见第六章响应文件格式</w:t>
            </w:r>
          </w:p>
        </w:tc>
      </w:tr>
      <w:tr w14:paraId="397B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05" w:type="dxa"/>
            <w:vAlign w:val="top"/>
          </w:tcPr>
          <w:p w14:paraId="38044B32">
            <w:pPr>
              <w:spacing w:line="396" w:lineRule="auto"/>
              <w:rPr>
                <w:rFonts w:ascii="Arial"/>
                <w:color w:val="auto"/>
                <w:sz w:val="21"/>
                <w:highlight w:val="none"/>
              </w:rPr>
            </w:pPr>
          </w:p>
          <w:p w14:paraId="20A04C13">
            <w:pPr>
              <w:spacing w:before="65" w:line="189" w:lineRule="auto"/>
              <w:ind w:left="26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w:t>
            </w:r>
          </w:p>
        </w:tc>
        <w:tc>
          <w:tcPr>
            <w:tcW w:w="1575" w:type="dxa"/>
            <w:vAlign w:val="top"/>
          </w:tcPr>
          <w:p w14:paraId="76BA1202">
            <w:pPr>
              <w:spacing w:line="432" w:lineRule="auto"/>
              <w:rPr>
                <w:rFonts w:ascii="Arial"/>
                <w:color w:val="auto"/>
                <w:sz w:val="21"/>
                <w:highlight w:val="none"/>
              </w:rPr>
            </w:pPr>
          </w:p>
          <w:p w14:paraId="6C15F43B">
            <w:pPr>
              <w:spacing w:before="65" w:line="228" w:lineRule="auto"/>
              <w:ind w:left="16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商务响应情况</w:t>
            </w:r>
          </w:p>
        </w:tc>
        <w:tc>
          <w:tcPr>
            <w:tcW w:w="2535" w:type="dxa"/>
            <w:vAlign w:val="top"/>
          </w:tcPr>
          <w:p w14:paraId="1F980C26">
            <w:pPr>
              <w:spacing w:before="189" w:line="278" w:lineRule="auto"/>
              <w:ind w:left="113" w:right="124" w:firstLine="1"/>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符合磋商文件采购需求中</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付款方式、服务期限、服</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务地点的要求</w:t>
            </w:r>
          </w:p>
        </w:tc>
        <w:tc>
          <w:tcPr>
            <w:tcW w:w="4485" w:type="dxa"/>
            <w:vAlign w:val="top"/>
          </w:tcPr>
          <w:p w14:paraId="3CA70536">
            <w:pPr>
              <w:spacing w:line="433" w:lineRule="auto"/>
              <w:rPr>
                <w:rFonts w:ascii="Arial"/>
                <w:color w:val="auto"/>
                <w:sz w:val="21"/>
                <w:highlight w:val="none"/>
              </w:rPr>
            </w:pPr>
          </w:p>
          <w:p w14:paraId="3A431037">
            <w:pPr>
              <w:spacing w:before="65" w:line="227" w:lineRule="auto"/>
              <w:ind w:left="10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详见第六章响应文件格式</w:t>
            </w:r>
          </w:p>
        </w:tc>
      </w:tr>
      <w:tr w14:paraId="3BD3C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705" w:type="dxa"/>
            <w:vAlign w:val="top"/>
          </w:tcPr>
          <w:p w14:paraId="31580C81">
            <w:pPr>
              <w:spacing w:line="398" w:lineRule="auto"/>
              <w:rPr>
                <w:rFonts w:ascii="Arial"/>
                <w:color w:val="auto"/>
                <w:sz w:val="21"/>
                <w:highlight w:val="none"/>
              </w:rPr>
            </w:pPr>
          </w:p>
          <w:p w14:paraId="1E430802">
            <w:pPr>
              <w:spacing w:before="65" w:line="189" w:lineRule="auto"/>
              <w:ind w:left="26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12</w:t>
            </w:r>
          </w:p>
        </w:tc>
        <w:tc>
          <w:tcPr>
            <w:tcW w:w="1575" w:type="dxa"/>
            <w:vAlign w:val="top"/>
          </w:tcPr>
          <w:p w14:paraId="095E90A4">
            <w:pPr>
              <w:spacing w:line="432" w:lineRule="auto"/>
              <w:rPr>
                <w:rFonts w:ascii="Arial"/>
                <w:color w:val="auto"/>
                <w:sz w:val="21"/>
                <w:highlight w:val="none"/>
              </w:rPr>
            </w:pPr>
          </w:p>
          <w:p w14:paraId="25EABEC9">
            <w:pPr>
              <w:spacing w:before="65" w:line="228" w:lineRule="auto"/>
              <w:ind w:left="16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响应文件格式</w:t>
            </w:r>
          </w:p>
        </w:tc>
        <w:tc>
          <w:tcPr>
            <w:tcW w:w="2535" w:type="dxa"/>
            <w:vAlign w:val="top"/>
          </w:tcPr>
          <w:p w14:paraId="4E2524D2">
            <w:pPr>
              <w:spacing w:before="188" w:line="227" w:lineRule="auto"/>
              <w:ind w:left="1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符合磋商文件提供的响应</w:t>
            </w:r>
          </w:p>
          <w:p w14:paraId="3DCFFB89">
            <w:pPr>
              <w:spacing w:before="66" w:line="273" w:lineRule="auto"/>
              <w:ind w:left="332" w:right="117" w:hanging="21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文件格式及要求编写且加</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盖供应商电子签章。</w:t>
            </w:r>
          </w:p>
        </w:tc>
        <w:tc>
          <w:tcPr>
            <w:tcW w:w="4485" w:type="dxa"/>
            <w:vAlign w:val="top"/>
          </w:tcPr>
          <w:p w14:paraId="7CDA6DFF">
            <w:pPr>
              <w:spacing w:line="432" w:lineRule="auto"/>
              <w:rPr>
                <w:rFonts w:ascii="Arial"/>
                <w:color w:val="auto"/>
                <w:sz w:val="21"/>
                <w:highlight w:val="none"/>
              </w:rPr>
            </w:pPr>
          </w:p>
          <w:p w14:paraId="6F64B5CC">
            <w:pPr>
              <w:spacing w:before="65" w:line="227" w:lineRule="auto"/>
              <w:ind w:left="10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详见第六章响应文件格式</w:t>
            </w:r>
          </w:p>
        </w:tc>
      </w:tr>
      <w:tr w14:paraId="3EA40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705" w:type="dxa"/>
            <w:vAlign w:val="top"/>
          </w:tcPr>
          <w:p w14:paraId="504DFFEA">
            <w:pPr>
              <w:spacing w:before="190" w:line="190" w:lineRule="auto"/>
              <w:ind w:left="26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13</w:t>
            </w:r>
          </w:p>
        </w:tc>
        <w:tc>
          <w:tcPr>
            <w:tcW w:w="1575" w:type="dxa"/>
            <w:vAlign w:val="top"/>
          </w:tcPr>
          <w:p w14:paraId="2A7ED795">
            <w:pPr>
              <w:spacing w:before="204" w:line="228" w:lineRule="auto"/>
              <w:ind w:left="37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其他要求</w:t>
            </w:r>
          </w:p>
        </w:tc>
        <w:tc>
          <w:tcPr>
            <w:tcW w:w="2535" w:type="dxa"/>
            <w:vAlign w:val="top"/>
          </w:tcPr>
          <w:p w14:paraId="5B719147">
            <w:pPr>
              <w:spacing w:before="228" w:line="228" w:lineRule="auto"/>
              <w:ind w:left="33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符合法律、行政法规</w:t>
            </w:r>
          </w:p>
        </w:tc>
        <w:tc>
          <w:tcPr>
            <w:tcW w:w="4485" w:type="dxa"/>
            <w:vAlign w:val="top"/>
          </w:tcPr>
          <w:p w14:paraId="06B9FC00">
            <w:pPr>
              <w:rPr>
                <w:rFonts w:ascii="Arial"/>
                <w:color w:val="auto"/>
                <w:sz w:val="21"/>
                <w:highlight w:val="none"/>
              </w:rPr>
            </w:pPr>
          </w:p>
        </w:tc>
      </w:tr>
      <w:tr w14:paraId="1FC3C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9300" w:type="dxa"/>
            <w:gridSpan w:val="4"/>
            <w:vAlign w:val="top"/>
          </w:tcPr>
          <w:p w14:paraId="4EEF5135">
            <w:pPr>
              <w:spacing w:before="225" w:line="227" w:lineRule="auto"/>
              <w:ind w:left="1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初审指标通过标准：供应商必须通过初审表中的全部评审指标。</w:t>
            </w:r>
          </w:p>
          <w:p w14:paraId="635D3CDB">
            <w:pPr>
              <w:spacing w:before="253" w:line="227" w:lineRule="auto"/>
              <w:ind w:left="1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注：磋商文件所有要求提供复印件或影印件或扫描件的，均须加盖响应人公章。</w:t>
            </w:r>
          </w:p>
        </w:tc>
      </w:tr>
    </w:tbl>
    <w:p w14:paraId="55108710">
      <w:pPr>
        <w:spacing w:before="242" w:line="220" w:lineRule="auto"/>
        <w:ind w:left="654"/>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2.2</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磋商。</w:t>
      </w:r>
    </w:p>
    <w:p w14:paraId="5FD039FE">
      <w:pPr>
        <w:spacing w:before="160" w:line="227" w:lineRule="auto"/>
        <w:ind w:left="58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初审合格后，磋商小组将按网上加密电子响应</w:t>
      </w:r>
      <w:r>
        <w:rPr>
          <w:rFonts w:ascii="宋体" w:hAnsi="宋体" w:eastAsia="宋体" w:cs="宋体"/>
          <w:color w:val="auto"/>
          <w:spacing w:val="9"/>
          <w:sz w:val="20"/>
          <w:szCs w:val="20"/>
          <w:highlight w:val="none"/>
        </w:rPr>
        <w:t>文件提交顺序集中与单一供应商分别进行磋商。</w:t>
      </w:r>
    </w:p>
    <w:p w14:paraId="17A14679">
      <w:pPr>
        <w:pStyle w:val="26"/>
        <w:spacing w:line="255" w:lineRule="auto"/>
        <w:rPr>
          <w:color w:val="auto"/>
          <w:highlight w:val="none"/>
        </w:rPr>
      </w:pPr>
    </w:p>
    <w:p w14:paraId="60F096BC">
      <w:pPr>
        <w:spacing w:before="78" w:line="218" w:lineRule="auto"/>
        <w:ind w:left="65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2.3</w:t>
      </w:r>
      <w:r>
        <w:rPr>
          <w:rFonts w:ascii="宋体" w:hAnsi="宋体" w:eastAsia="宋体" w:cs="宋体"/>
          <w:color w:val="auto"/>
          <w:spacing w:val="-3"/>
          <w:sz w:val="24"/>
          <w:szCs w:val="24"/>
          <w:highlight w:val="none"/>
        </w:rPr>
        <w:t xml:space="preserve"> </w:t>
      </w:r>
      <w:r>
        <w:rPr>
          <w:rFonts w:ascii="宋体" w:hAnsi="宋体" w:eastAsia="宋体" w:cs="宋体"/>
          <w:b/>
          <w:bCs/>
          <w:color w:val="auto"/>
          <w:spacing w:val="-3"/>
          <w:sz w:val="24"/>
          <w:szCs w:val="24"/>
          <w:highlight w:val="none"/>
        </w:rPr>
        <w:t>最后报价评审。</w:t>
      </w:r>
    </w:p>
    <w:p w14:paraId="0C88237D">
      <w:pPr>
        <w:spacing w:before="302" w:line="227" w:lineRule="auto"/>
        <w:ind w:left="59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符合磋商文件供应商须知正文第 24 条要求。</w:t>
      </w:r>
    </w:p>
    <w:p w14:paraId="19603D04">
      <w:pPr>
        <w:spacing w:before="289" w:line="220" w:lineRule="auto"/>
        <w:ind w:left="65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2.4</w:t>
      </w:r>
      <w:r>
        <w:rPr>
          <w:rFonts w:ascii="宋体" w:hAnsi="宋体" w:eastAsia="宋体" w:cs="宋体"/>
          <w:color w:val="auto"/>
          <w:spacing w:val="15"/>
          <w:sz w:val="24"/>
          <w:szCs w:val="24"/>
          <w:highlight w:val="none"/>
        </w:rPr>
        <w:t xml:space="preserve"> </w:t>
      </w:r>
      <w:r>
        <w:rPr>
          <w:rFonts w:ascii="宋体" w:hAnsi="宋体" w:eastAsia="宋体" w:cs="宋体"/>
          <w:b/>
          <w:bCs/>
          <w:color w:val="auto"/>
          <w:spacing w:val="-6"/>
          <w:sz w:val="24"/>
          <w:szCs w:val="24"/>
          <w:highlight w:val="none"/>
        </w:rPr>
        <w:t>综合评分</w:t>
      </w:r>
    </w:p>
    <w:p w14:paraId="0896E3CE">
      <w:pPr>
        <w:spacing w:before="272" w:line="219" w:lineRule="auto"/>
        <w:ind w:left="654"/>
        <w:rPr>
          <w:rFonts w:ascii="宋体" w:hAnsi="宋体" w:eastAsia="宋体" w:cs="宋体"/>
          <w:color w:val="auto"/>
          <w:sz w:val="24"/>
          <w:szCs w:val="24"/>
          <w:highlight w:val="none"/>
        </w:rPr>
      </w:pPr>
      <w:r>
        <w:rPr>
          <w:rFonts w:ascii="宋体" w:hAnsi="宋体" w:eastAsia="宋体" w:cs="宋体"/>
          <w:color w:val="auto"/>
          <w:sz w:val="24"/>
          <w:szCs w:val="24"/>
          <w:highlight w:val="none"/>
        </w:rPr>
        <w:t>2.4.1 磋商小组按照下表对进入综合评分的所有供</w:t>
      </w:r>
      <w:r>
        <w:rPr>
          <w:rFonts w:ascii="宋体" w:hAnsi="宋体" w:eastAsia="宋体" w:cs="宋体"/>
          <w:color w:val="auto"/>
          <w:spacing w:val="-1"/>
          <w:sz w:val="24"/>
          <w:szCs w:val="24"/>
          <w:highlight w:val="none"/>
        </w:rPr>
        <w:t>应商的响应文件进行综合评分。</w:t>
      </w:r>
    </w:p>
    <w:p w14:paraId="4C52727E">
      <w:pPr>
        <w:spacing w:before="277" w:line="219" w:lineRule="auto"/>
        <w:ind w:left="654"/>
        <w:rPr>
          <w:rFonts w:ascii="宋体" w:hAnsi="宋体" w:eastAsia="宋体" w:cs="宋体"/>
          <w:color w:val="auto"/>
          <w:sz w:val="24"/>
          <w:szCs w:val="24"/>
          <w:highlight w:val="none"/>
        </w:rPr>
      </w:pPr>
      <w:r>
        <w:rPr>
          <w:rFonts w:ascii="宋体" w:hAnsi="宋体" w:eastAsia="宋体" w:cs="宋体"/>
          <w:color w:val="auto"/>
          <w:sz w:val="24"/>
          <w:szCs w:val="24"/>
          <w:highlight w:val="none"/>
        </w:rPr>
        <w:t>2.4.2 本项目综合评分满分均为 1</w:t>
      </w:r>
      <w:r>
        <w:rPr>
          <w:rFonts w:ascii="宋体" w:hAnsi="宋体" w:eastAsia="宋体" w:cs="宋体"/>
          <w:color w:val="auto"/>
          <w:spacing w:val="-1"/>
          <w:sz w:val="24"/>
          <w:szCs w:val="24"/>
          <w:highlight w:val="none"/>
        </w:rPr>
        <w:t>00 分。具体评分细则如下：</w:t>
      </w:r>
    </w:p>
    <w:p w14:paraId="2CE40680">
      <w:pPr>
        <w:spacing w:line="33" w:lineRule="exact"/>
        <w:rPr>
          <w:color w:val="auto"/>
          <w:highlight w:val="none"/>
        </w:rPr>
      </w:pPr>
    </w:p>
    <w:p w14:paraId="7879FBD3">
      <w:pPr>
        <w:pStyle w:val="26"/>
        <w:rPr>
          <w:color w:val="auto"/>
          <w:highlight w:val="none"/>
        </w:rPr>
      </w:pPr>
    </w:p>
    <w:p w14:paraId="333A9C07">
      <w:pPr>
        <w:rPr>
          <w:color w:val="auto"/>
          <w:highlight w:val="none"/>
        </w:rPr>
        <w:sectPr>
          <w:footerReference r:id="rId6" w:type="default"/>
          <w:pgSz w:w="11906" w:h="16839"/>
          <w:pgMar w:top="1418" w:right="1257" w:bottom="917" w:left="1256" w:header="0" w:footer="644" w:gutter="0"/>
          <w:pgNumType w:fmt="decimal" w:start="1"/>
          <w:cols w:space="720" w:num="1"/>
        </w:sectPr>
      </w:pPr>
    </w:p>
    <w:tbl>
      <w:tblPr>
        <w:tblStyle w:val="420"/>
        <w:tblW w:w="929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17"/>
        <w:gridCol w:w="7202"/>
        <w:gridCol w:w="877"/>
      </w:tblGrid>
      <w:tr w14:paraId="1CF7E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2" w:hRule="atLeast"/>
        </w:trPr>
        <w:tc>
          <w:tcPr>
            <w:tcW w:w="1217" w:type="dxa"/>
            <w:vAlign w:val="center"/>
          </w:tcPr>
          <w:p w14:paraId="415A2F4C">
            <w:pPr>
              <w:pStyle w:val="419"/>
              <w:spacing w:before="68" w:line="220" w:lineRule="auto"/>
              <w:jc w:val="center"/>
              <w:rPr>
                <w:rFonts w:ascii="仿宋" w:hAnsi="仿宋" w:eastAsia="仿宋" w:cs="仿宋"/>
                <w:color w:val="auto"/>
                <w:spacing w:val="-2"/>
                <w:kern w:val="2"/>
                <w:sz w:val="21"/>
                <w:szCs w:val="21"/>
                <w:highlight w:val="none"/>
                <w:lang w:val="en-US" w:eastAsia="en-US" w:bidi="ar-SA"/>
              </w:rPr>
            </w:pPr>
            <w:bookmarkStart w:id="246" w:name="_Toc7241"/>
            <w:bookmarkStart w:id="247" w:name="_Toc6165"/>
            <w:bookmarkStart w:id="248" w:name="_Toc28300"/>
            <w:bookmarkStart w:id="249" w:name="_Toc431"/>
            <w:bookmarkStart w:id="250" w:name="_Toc10569"/>
            <w:bookmarkStart w:id="251" w:name="_Toc54941340"/>
            <w:bookmarkStart w:id="252" w:name="_Toc3977"/>
            <w:bookmarkStart w:id="253" w:name="_Toc27586"/>
            <w:r>
              <w:rPr>
                <w:rFonts w:ascii="仿宋" w:hAnsi="仿宋" w:eastAsia="仿宋" w:cs="仿宋"/>
                <w:color w:val="auto"/>
                <w:spacing w:val="-2"/>
                <w:kern w:val="2"/>
                <w:sz w:val="21"/>
                <w:szCs w:val="21"/>
                <w:highlight w:val="none"/>
                <w:lang w:val="en-US" w:eastAsia="en-US" w:bidi="ar-SA"/>
              </w:rPr>
              <w:t>业绩</w:t>
            </w:r>
          </w:p>
        </w:tc>
        <w:tc>
          <w:tcPr>
            <w:tcW w:w="7202" w:type="dxa"/>
            <w:vAlign w:val="top"/>
          </w:tcPr>
          <w:p w14:paraId="0F26315B">
            <w:pPr>
              <w:pStyle w:val="419"/>
              <w:spacing w:before="44" w:line="356" w:lineRule="auto"/>
              <w:ind w:left="128" w:right="92" w:firstLine="13"/>
              <w:rPr>
                <w:color w:val="auto"/>
                <w:sz w:val="21"/>
                <w:szCs w:val="21"/>
                <w:highlight w:val="none"/>
              </w:rPr>
            </w:pPr>
            <w:r>
              <w:rPr>
                <w:color w:val="auto"/>
                <w:spacing w:val="-5"/>
                <w:sz w:val="21"/>
                <w:szCs w:val="21"/>
                <w:highlight w:val="none"/>
              </w:rPr>
              <w:t>自 2019 年 1 月 1</w:t>
            </w:r>
            <w:r>
              <w:rPr>
                <w:color w:val="auto"/>
                <w:spacing w:val="30"/>
                <w:sz w:val="21"/>
                <w:szCs w:val="21"/>
                <w:highlight w:val="none"/>
              </w:rPr>
              <w:t xml:space="preserve"> </w:t>
            </w:r>
            <w:r>
              <w:rPr>
                <w:color w:val="auto"/>
                <w:spacing w:val="-5"/>
                <w:sz w:val="21"/>
                <w:szCs w:val="21"/>
                <w:highlight w:val="none"/>
              </w:rPr>
              <w:t>日以来</w:t>
            </w:r>
            <w:r>
              <w:rPr>
                <w:b/>
                <w:bCs/>
                <w:color w:val="auto"/>
                <w:spacing w:val="-5"/>
                <w:sz w:val="21"/>
                <w:szCs w:val="21"/>
                <w:highlight w:val="none"/>
              </w:rPr>
              <w:t>（时间以合同</w:t>
            </w:r>
            <w:r>
              <w:rPr>
                <w:b/>
                <w:bCs/>
                <w:color w:val="auto"/>
                <w:spacing w:val="-6"/>
                <w:sz w:val="21"/>
                <w:szCs w:val="21"/>
                <w:highlight w:val="none"/>
              </w:rPr>
              <w:t>签订时间为准</w:t>
            </w:r>
            <w:r>
              <w:rPr>
                <w:b/>
                <w:bCs/>
                <w:color w:val="auto"/>
                <w:spacing w:val="-1"/>
                <w:sz w:val="21"/>
                <w:szCs w:val="21"/>
                <w:highlight w:val="none"/>
              </w:rPr>
              <w:t>）</w:t>
            </w:r>
            <w:r>
              <w:rPr>
                <w:color w:val="auto"/>
                <w:spacing w:val="-1"/>
                <w:sz w:val="21"/>
                <w:szCs w:val="21"/>
                <w:highlight w:val="none"/>
              </w:rPr>
              <w:t>，</w:t>
            </w:r>
            <w:r>
              <w:rPr>
                <w:color w:val="auto"/>
                <w:spacing w:val="-6"/>
                <w:sz w:val="21"/>
                <w:szCs w:val="21"/>
                <w:highlight w:val="none"/>
              </w:rPr>
              <w:t>投标人所投产品具有</w:t>
            </w:r>
            <w:r>
              <w:rPr>
                <w:color w:val="auto"/>
                <w:spacing w:val="-3"/>
                <w:sz w:val="21"/>
                <w:szCs w:val="21"/>
                <w:highlight w:val="none"/>
              </w:rPr>
              <w:t>国内</w:t>
            </w:r>
            <w:r>
              <w:rPr>
                <w:rFonts w:hint="eastAsia"/>
                <w:color w:val="auto"/>
                <w:spacing w:val="-3"/>
                <w:sz w:val="21"/>
                <w:szCs w:val="21"/>
                <w:highlight w:val="none"/>
                <w:lang w:val="en-US" w:eastAsia="zh-CN"/>
              </w:rPr>
              <w:t>二</w:t>
            </w:r>
            <w:r>
              <w:rPr>
                <w:color w:val="auto"/>
                <w:spacing w:val="-3"/>
                <w:sz w:val="21"/>
                <w:szCs w:val="21"/>
                <w:highlight w:val="none"/>
              </w:rPr>
              <w:t>级</w:t>
            </w:r>
            <w:r>
              <w:rPr>
                <w:rFonts w:hint="eastAsia"/>
                <w:color w:val="auto"/>
                <w:spacing w:val="-3"/>
                <w:sz w:val="21"/>
                <w:szCs w:val="21"/>
                <w:highlight w:val="none"/>
                <w:lang w:eastAsia="zh-CN"/>
              </w:rPr>
              <w:t>（</w:t>
            </w:r>
            <w:r>
              <w:rPr>
                <w:rFonts w:hint="eastAsia"/>
                <w:color w:val="auto"/>
                <w:spacing w:val="-3"/>
                <w:sz w:val="21"/>
                <w:szCs w:val="21"/>
                <w:highlight w:val="none"/>
                <w:lang w:val="en-US" w:eastAsia="zh-CN"/>
              </w:rPr>
              <w:t>或以上</w:t>
            </w:r>
            <w:r>
              <w:rPr>
                <w:rFonts w:hint="eastAsia"/>
                <w:color w:val="auto"/>
                <w:spacing w:val="-3"/>
                <w:sz w:val="21"/>
                <w:szCs w:val="21"/>
                <w:highlight w:val="none"/>
                <w:lang w:eastAsia="zh-CN"/>
              </w:rPr>
              <w:t>）</w:t>
            </w:r>
            <w:r>
              <w:rPr>
                <w:color w:val="auto"/>
                <w:spacing w:val="-3"/>
                <w:sz w:val="21"/>
                <w:szCs w:val="21"/>
                <w:highlight w:val="none"/>
              </w:rPr>
              <w:t>综合医院使用业绩，每提供一项业绩得</w:t>
            </w:r>
            <w:r>
              <w:rPr>
                <w:color w:val="auto"/>
                <w:spacing w:val="-21"/>
                <w:sz w:val="21"/>
                <w:szCs w:val="21"/>
                <w:highlight w:val="none"/>
              </w:rPr>
              <w:t xml:space="preserve"> </w:t>
            </w:r>
            <w:r>
              <w:rPr>
                <w:rFonts w:hint="eastAsia"/>
                <w:color w:val="auto"/>
                <w:spacing w:val="-3"/>
                <w:sz w:val="21"/>
                <w:szCs w:val="21"/>
                <w:highlight w:val="none"/>
                <w:lang w:val="en-US" w:eastAsia="zh-CN"/>
              </w:rPr>
              <w:t>5</w:t>
            </w:r>
            <w:r>
              <w:rPr>
                <w:color w:val="auto"/>
                <w:spacing w:val="-3"/>
                <w:sz w:val="21"/>
                <w:szCs w:val="21"/>
                <w:highlight w:val="none"/>
              </w:rPr>
              <w:t>分，最高得</w:t>
            </w:r>
            <w:r>
              <w:rPr>
                <w:color w:val="auto"/>
                <w:spacing w:val="-33"/>
                <w:sz w:val="21"/>
                <w:szCs w:val="21"/>
                <w:highlight w:val="none"/>
              </w:rPr>
              <w:t xml:space="preserve"> </w:t>
            </w:r>
            <w:r>
              <w:rPr>
                <w:rFonts w:hint="eastAsia"/>
                <w:color w:val="auto"/>
                <w:spacing w:val="-3"/>
                <w:sz w:val="21"/>
                <w:szCs w:val="21"/>
                <w:highlight w:val="none"/>
                <w:lang w:val="en-US" w:eastAsia="zh-CN"/>
              </w:rPr>
              <w:t>10</w:t>
            </w:r>
            <w:r>
              <w:rPr>
                <w:color w:val="auto"/>
                <w:spacing w:val="-3"/>
                <w:sz w:val="21"/>
                <w:szCs w:val="21"/>
                <w:highlight w:val="none"/>
              </w:rPr>
              <w:t>分。</w:t>
            </w:r>
          </w:p>
          <w:p w14:paraId="7A25BB95">
            <w:pPr>
              <w:pStyle w:val="419"/>
              <w:spacing w:before="15" w:line="348" w:lineRule="auto"/>
              <w:ind w:left="110" w:right="83"/>
              <w:rPr>
                <w:color w:val="auto"/>
                <w:sz w:val="21"/>
                <w:szCs w:val="21"/>
                <w:highlight w:val="none"/>
              </w:rPr>
            </w:pPr>
            <w:r>
              <w:rPr>
                <w:b/>
                <w:bCs/>
                <w:color w:val="auto"/>
                <w:spacing w:val="1"/>
                <w:sz w:val="21"/>
                <w:szCs w:val="21"/>
                <w:highlight w:val="none"/>
              </w:rPr>
              <w:t>备注：每份业绩须提供供货合同。所提供的供货合同中须至少</w:t>
            </w:r>
            <w:r>
              <w:rPr>
                <w:b/>
                <w:bCs/>
                <w:color w:val="auto"/>
                <w:sz w:val="21"/>
                <w:szCs w:val="21"/>
                <w:highlight w:val="none"/>
              </w:rPr>
              <w:t>含有本包采购内</w:t>
            </w:r>
            <w:r>
              <w:rPr>
                <w:color w:val="auto"/>
                <w:sz w:val="21"/>
                <w:szCs w:val="21"/>
                <w:highlight w:val="none"/>
              </w:rPr>
              <w:t xml:space="preserve"> </w:t>
            </w:r>
            <w:r>
              <w:rPr>
                <w:b/>
                <w:bCs/>
                <w:color w:val="auto"/>
                <w:sz w:val="21"/>
                <w:szCs w:val="21"/>
                <w:highlight w:val="none"/>
              </w:rPr>
              <w:t>容中产品的一种或几种，</w:t>
            </w:r>
            <w:r>
              <w:rPr>
                <w:b/>
                <w:bCs/>
                <w:color w:val="auto"/>
                <w:spacing w:val="2"/>
                <w:sz w:val="21"/>
                <w:szCs w:val="21"/>
                <w:highlight w:val="none"/>
              </w:rPr>
              <w:t>否则不予认可。</w:t>
            </w:r>
          </w:p>
        </w:tc>
        <w:tc>
          <w:tcPr>
            <w:tcW w:w="877" w:type="dxa"/>
            <w:vAlign w:val="center"/>
          </w:tcPr>
          <w:p w14:paraId="1B4D209E">
            <w:pPr>
              <w:pStyle w:val="419"/>
              <w:spacing w:before="68" w:line="220" w:lineRule="auto"/>
              <w:jc w:val="center"/>
              <w:rPr>
                <w:color w:val="auto"/>
                <w:sz w:val="21"/>
                <w:szCs w:val="21"/>
                <w:highlight w:val="none"/>
              </w:rPr>
            </w:pPr>
            <w:r>
              <w:rPr>
                <w:rFonts w:hint="eastAsia"/>
                <w:b/>
                <w:bCs/>
                <w:color w:val="auto"/>
                <w:spacing w:val="-9"/>
                <w:sz w:val="21"/>
                <w:szCs w:val="21"/>
                <w:highlight w:val="none"/>
                <w:lang w:val="en-US" w:eastAsia="zh-CN"/>
              </w:rPr>
              <w:t>10</w:t>
            </w:r>
            <w:r>
              <w:rPr>
                <w:b/>
                <w:bCs/>
                <w:color w:val="auto"/>
                <w:spacing w:val="-9"/>
                <w:sz w:val="21"/>
                <w:szCs w:val="21"/>
                <w:highlight w:val="none"/>
              </w:rPr>
              <w:t>分</w:t>
            </w:r>
          </w:p>
        </w:tc>
      </w:tr>
      <w:tr w14:paraId="6A2EA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9" w:hRule="atLeast"/>
        </w:trPr>
        <w:tc>
          <w:tcPr>
            <w:tcW w:w="1217" w:type="dxa"/>
            <w:vAlign w:val="center"/>
          </w:tcPr>
          <w:p w14:paraId="1B6D1096">
            <w:pPr>
              <w:pStyle w:val="419"/>
              <w:spacing w:before="68" w:line="343" w:lineRule="auto"/>
              <w:ind w:right="260"/>
              <w:jc w:val="center"/>
              <w:rPr>
                <w:rFonts w:ascii="仿宋" w:hAnsi="仿宋" w:eastAsia="仿宋" w:cs="仿宋"/>
                <w:color w:val="auto"/>
                <w:spacing w:val="-2"/>
                <w:kern w:val="2"/>
                <w:sz w:val="21"/>
                <w:szCs w:val="21"/>
                <w:highlight w:val="none"/>
                <w:lang w:val="en-US" w:eastAsia="en-US" w:bidi="ar-SA"/>
              </w:rPr>
            </w:pPr>
            <w:r>
              <w:rPr>
                <w:rFonts w:ascii="仿宋" w:hAnsi="仿宋" w:eastAsia="仿宋" w:cs="仿宋"/>
                <w:color w:val="auto"/>
                <w:spacing w:val="-2"/>
                <w:kern w:val="2"/>
                <w:sz w:val="21"/>
                <w:szCs w:val="21"/>
                <w:highlight w:val="none"/>
                <w:lang w:val="en-US" w:eastAsia="en-US" w:bidi="ar-SA"/>
              </w:rPr>
              <w:t>综合评价</w:t>
            </w:r>
          </w:p>
        </w:tc>
        <w:tc>
          <w:tcPr>
            <w:tcW w:w="7202" w:type="dxa"/>
            <w:vAlign w:val="top"/>
          </w:tcPr>
          <w:p w14:paraId="223FB675">
            <w:pPr>
              <w:pStyle w:val="419"/>
              <w:spacing w:before="69" w:line="354" w:lineRule="auto"/>
              <w:ind w:left="110" w:right="81" w:firstLine="22"/>
              <w:jc w:val="both"/>
              <w:rPr>
                <w:color w:val="auto"/>
                <w:sz w:val="21"/>
                <w:szCs w:val="21"/>
                <w:highlight w:val="none"/>
              </w:rPr>
            </w:pPr>
            <w:r>
              <w:rPr>
                <w:color w:val="auto"/>
                <w:spacing w:val="2"/>
                <w:sz w:val="21"/>
                <w:szCs w:val="21"/>
                <w:highlight w:val="none"/>
              </w:rPr>
              <w:t>由评委会根据投标人所投产品的综合情况，包括但不限于：技术先进性、稳定</w:t>
            </w:r>
            <w:r>
              <w:rPr>
                <w:color w:val="auto"/>
                <w:spacing w:val="6"/>
                <w:sz w:val="21"/>
                <w:szCs w:val="21"/>
                <w:highlight w:val="none"/>
              </w:rPr>
              <w:t>性、性价比、市场美誉度等情况进行综合评审，优的</w:t>
            </w:r>
            <w:r>
              <w:rPr>
                <w:rFonts w:hint="eastAsia"/>
                <w:color w:val="auto"/>
                <w:spacing w:val="6"/>
                <w:sz w:val="21"/>
                <w:szCs w:val="21"/>
                <w:highlight w:val="none"/>
                <w:lang w:eastAsia="zh-CN"/>
              </w:rPr>
              <w:t>（</w:t>
            </w:r>
            <w:r>
              <w:rPr>
                <w:rFonts w:hint="eastAsia"/>
                <w:color w:val="auto"/>
                <w:spacing w:val="6"/>
                <w:sz w:val="21"/>
                <w:szCs w:val="21"/>
                <w:highlight w:val="none"/>
                <w:lang w:val="en-US" w:eastAsia="zh-CN"/>
              </w:rPr>
              <w:t>15.00</w:t>
            </w:r>
            <w:r>
              <w:rPr>
                <w:color w:val="auto"/>
                <w:spacing w:val="6"/>
                <w:sz w:val="21"/>
                <w:szCs w:val="21"/>
                <w:highlight w:val="none"/>
              </w:rPr>
              <w:t>-</w:t>
            </w:r>
            <w:r>
              <w:rPr>
                <w:rFonts w:hint="eastAsia"/>
                <w:color w:val="auto"/>
                <w:spacing w:val="6"/>
                <w:sz w:val="21"/>
                <w:szCs w:val="21"/>
                <w:highlight w:val="none"/>
                <w:lang w:val="en-US" w:eastAsia="zh-CN"/>
              </w:rPr>
              <w:t>10.01</w:t>
            </w:r>
            <w:r>
              <w:rPr>
                <w:color w:val="auto"/>
                <w:spacing w:val="6"/>
                <w:sz w:val="21"/>
                <w:szCs w:val="21"/>
                <w:highlight w:val="none"/>
              </w:rPr>
              <w:t>)分，</w:t>
            </w:r>
            <w:r>
              <w:rPr>
                <w:color w:val="auto"/>
                <w:spacing w:val="-21"/>
                <w:sz w:val="21"/>
                <w:szCs w:val="21"/>
                <w:highlight w:val="none"/>
              </w:rPr>
              <w:t xml:space="preserve"> </w:t>
            </w:r>
            <w:r>
              <w:rPr>
                <w:color w:val="auto"/>
                <w:spacing w:val="6"/>
                <w:sz w:val="21"/>
                <w:szCs w:val="21"/>
                <w:highlight w:val="none"/>
              </w:rPr>
              <w:t>良好的</w:t>
            </w:r>
            <w:r>
              <w:rPr>
                <w:rFonts w:hint="eastAsia"/>
                <w:color w:val="auto"/>
                <w:spacing w:val="6"/>
                <w:sz w:val="21"/>
                <w:szCs w:val="21"/>
                <w:highlight w:val="none"/>
                <w:lang w:eastAsia="zh-CN"/>
              </w:rPr>
              <w:t>（</w:t>
            </w:r>
            <w:r>
              <w:rPr>
                <w:rFonts w:hint="eastAsia"/>
                <w:color w:val="auto"/>
                <w:spacing w:val="6"/>
                <w:sz w:val="21"/>
                <w:szCs w:val="21"/>
                <w:highlight w:val="none"/>
                <w:lang w:val="en-US" w:eastAsia="zh-CN"/>
              </w:rPr>
              <w:t>10.00</w:t>
            </w:r>
            <w:r>
              <w:rPr>
                <w:color w:val="auto"/>
                <w:spacing w:val="6"/>
                <w:sz w:val="21"/>
                <w:szCs w:val="21"/>
                <w:highlight w:val="none"/>
              </w:rPr>
              <w:t>-</w:t>
            </w:r>
            <w:r>
              <w:rPr>
                <w:rFonts w:hint="eastAsia"/>
                <w:color w:val="auto"/>
                <w:spacing w:val="6"/>
                <w:sz w:val="21"/>
                <w:szCs w:val="21"/>
                <w:highlight w:val="none"/>
                <w:lang w:val="en-US" w:eastAsia="zh-CN"/>
              </w:rPr>
              <w:t>5.01</w:t>
            </w:r>
            <w:r>
              <w:rPr>
                <w:color w:val="auto"/>
                <w:spacing w:val="6"/>
                <w:sz w:val="21"/>
                <w:szCs w:val="21"/>
                <w:highlight w:val="none"/>
              </w:rPr>
              <w:t>)</w:t>
            </w:r>
            <w:r>
              <w:rPr>
                <w:color w:val="auto"/>
                <w:sz w:val="21"/>
                <w:szCs w:val="21"/>
                <w:highlight w:val="none"/>
              </w:rPr>
              <w:t xml:space="preserve"> </w:t>
            </w:r>
            <w:r>
              <w:rPr>
                <w:color w:val="auto"/>
                <w:spacing w:val="2"/>
                <w:sz w:val="21"/>
                <w:szCs w:val="21"/>
                <w:highlight w:val="none"/>
              </w:rPr>
              <w:t>分，一般的</w:t>
            </w:r>
            <w:r>
              <w:rPr>
                <w:rFonts w:hint="eastAsia"/>
                <w:color w:val="auto"/>
                <w:spacing w:val="2"/>
                <w:sz w:val="21"/>
                <w:szCs w:val="21"/>
                <w:highlight w:val="none"/>
                <w:lang w:eastAsia="zh-CN"/>
              </w:rPr>
              <w:t>（</w:t>
            </w:r>
            <w:r>
              <w:rPr>
                <w:rFonts w:hint="eastAsia"/>
                <w:color w:val="auto"/>
                <w:spacing w:val="2"/>
                <w:sz w:val="21"/>
                <w:szCs w:val="21"/>
                <w:highlight w:val="none"/>
                <w:lang w:val="en-US" w:eastAsia="zh-CN"/>
              </w:rPr>
              <w:t>5.00</w:t>
            </w:r>
            <w:r>
              <w:rPr>
                <w:color w:val="auto"/>
                <w:spacing w:val="2"/>
                <w:sz w:val="21"/>
                <w:szCs w:val="21"/>
                <w:highlight w:val="none"/>
              </w:rPr>
              <w:t>-</w:t>
            </w:r>
            <w:r>
              <w:rPr>
                <w:rFonts w:hint="eastAsia"/>
                <w:color w:val="auto"/>
                <w:spacing w:val="2"/>
                <w:sz w:val="21"/>
                <w:szCs w:val="21"/>
                <w:highlight w:val="none"/>
                <w:lang w:val="en-US" w:eastAsia="zh-CN"/>
              </w:rPr>
              <w:t>0.01</w:t>
            </w:r>
            <w:r>
              <w:rPr>
                <w:color w:val="auto"/>
                <w:spacing w:val="2"/>
                <w:sz w:val="21"/>
                <w:szCs w:val="21"/>
                <w:highlight w:val="none"/>
              </w:rPr>
              <w:t>)分，差的</w:t>
            </w:r>
            <w:r>
              <w:rPr>
                <w:rFonts w:hint="eastAsia"/>
                <w:color w:val="auto"/>
                <w:spacing w:val="2"/>
                <w:sz w:val="21"/>
                <w:szCs w:val="21"/>
                <w:highlight w:val="none"/>
                <w:lang w:eastAsia="zh-CN"/>
              </w:rPr>
              <w:t>不得分</w:t>
            </w:r>
            <w:r>
              <w:rPr>
                <w:color w:val="auto"/>
                <w:spacing w:val="2"/>
                <w:sz w:val="21"/>
                <w:szCs w:val="21"/>
                <w:highlight w:val="none"/>
              </w:rPr>
              <w:t>。</w:t>
            </w:r>
            <w:r>
              <w:rPr>
                <w:b/>
                <w:bCs/>
                <w:color w:val="auto"/>
                <w:spacing w:val="2"/>
                <w:sz w:val="21"/>
                <w:szCs w:val="21"/>
                <w:highlight w:val="none"/>
              </w:rPr>
              <w:t>注：投标</w:t>
            </w:r>
            <w:r>
              <w:rPr>
                <w:b/>
                <w:bCs/>
                <w:color w:val="auto"/>
                <w:spacing w:val="1"/>
                <w:sz w:val="21"/>
                <w:szCs w:val="21"/>
                <w:highlight w:val="none"/>
              </w:rPr>
              <w:t>文件中可提供产品综合评价的相</w:t>
            </w:r>
            <w:r>
              <w:rPr>
                <w:color w:val="auto"/>
                <w:sz w:val="21"/>
                <w:szCs w:val="21"/>
                <w:highlight w:val="none"/>
              </w:rPr>
              <w:t xml:space="preserve"> </w:t>
            </w:r>
            <w:r>
              <w:rPr>
                <w:b/>
                <w:bCs/>
                <w:color w:val="auto"/>
                <w:spacing w:val="-1"/>
                <w:sz w:val="21"/>
                <w:szCs w:val="21"/>
                <w:highlight w:val="none"/>
              </w:rPr>
              <w:t>关材料进行佐证说明，无相关内容的不得分。</w:t>
            </w:r>
          </w:p>
        </w:tc>
        <w:tc>
          <w:tcPr>
            <w:tcW w:w="877" w:type="dxa"/>
            <w:vAlign w:val="center"/>
          </w:tcPr>
          <w:p w14:paraId="601A304E">
            <w:pPr>
              <w:pStyle w:val="419"/>
              <w:spacing w:before="69" w:line="220" w:lineRule="auto"/>
              <w:jc w:val="center"/>
              <w:rPr>
                <w:color w:val="auto"/>
                <w:sz w:val="21"/>
                <w:szCs w:val="21"/>
                <w:highlight w:val="none"/>
              </w:rPr>
            </w:pPr>
            <w:r>
              <w:rPr>
                <w:rFonts w:hint="eastAsia"/>
                <w:b/>
                <w:bCs/>
                <w:color w:val="auto"/>
                <w:spacing w:val="-7"/>
                <w:sz w:val="21"/>
                <w:szCs w:val="21"/>
                <w:highlight w:val="none"/>
                <w:lang w:val="en-US" w:eastAsia="zh-CN"/>
              </w:rPr>
              <w:t>15</w:t>
            </w:r>
            <w:r>
              <w:rPr>
                <w:b/>
                <w:bCs/>
                <w:color w:val="auto"/>
                <w:spacing w:val="-7"/>
                <w:sz w:val="21"/>
                <w:szCs w:val="21"/>
                <w:highlight w:val="none"/>
              </w:rPr>
              <w:t>分</w:t>
            </w:r>
          </w:p>
        </w:tc>
      </w:tr>
      <w:tr w14:paraId="762F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1217" w:type="dxa"/>
            <w:vAlign w:val="center"/>
          </w:tcPr>
          <w:p w14:paraId="68C4415F">
            <w:pPr>
              <w:pStyle w:val="419"/>
              <w:spacing w:before="68" w:line="220" w:lineRule="auto"/>
              <w:jc w:val="center"/>
              <w:rPr>
                <w:rFonts w:ascii="仿宋" w:hAnsi="仿宋" w:eastAsia="仿宋" w:cs="仿宋"/>
                <w:color w:val="auto"/>
                <w:spacing w:val="-2"/>
                <w:kern w:val="2"/>
                <w:sz w:val="21"/>
                <w:szCs w:val="21"/>
                <w:highlight w:val="none"/>
                <w:lang w:val="en-US" w:eastAsia="en-US" w:bidi="ar-SA"/>
              </w:rPr>
            </w:pPr>
            <w:r>
              <w:rPr>
                <w:rFonts w:ascii="仿宋" w:hAnsi="仿宋" w:eastAsia="仿宋" w:cs="仿宋"/>
                <w:color w:val="auto"/>
                <w:spacing w:val="-2"/>
                <w:kern w:val="2"/>
                <w:sz w:val="21"/>
                <w:szCs w:val="21"/>
                <w:highlight w:val="none"/>
                <w:lang w:val="en-US" w:eastAsia="en-US" w:bidi="ar-SA"/>
              </w:rPr>
              <w:t>技术参数响应情况</w:t>
            </w:r>
          </w:p>
        </w:tc>
        <w:tc>
          <w:tcPr>
            <w:tcW w:w="7202" w:type="dxa"/>
            <w:vAlign w:val="top"/>
          </w:tcPr>
          <w:p w14:paraId="6C9BBE23">
            <w:pPr>
              <w:pStyle w:val="419"/>
              <w:spacing w:before="116" w:line="357" w:lineRule="auto"/>
              <w:ind w:left="107" w:right="81" w:firstLine="2"/>
              <w:rPr>
                <w:color w:val="auto"/>
                <w:sz w:val="21"/>
                <w:szCs w:val="21"/>
                <w:highlight w:val="none"/>
              </w:rPr>
            </w:pPr>
            <w:r>
              <w:rPr>
                <w:color w:val="auto"/>
                <w:spacing w:val="2"/>
                <w:sz w:val="21"/>
                <w:szCs w:val="21"/>
                <w:highlight w:val="none"/>
              </w:rPr>
              <w:t>投标人所投产品技术参数完全满足或优于招标</w:t>
            </w:r>
            <w:r>
              <w:rPr>
                <w:color w:val="auto"/>
                <w:spacing w:val="1"/>
                <w:sz w:val="21"/>
                <w:szCs w:val="21"/>
                <w:highlight w:val="none"/>
              </w:rPr>
              <w:t xml:space="preserve">文件技术参数要求的得 </w:t>
            </w:r>
            <w:r>
              <w:rPr>
                <w:rFonts w:hint="eastAsia"/>
                <w:color w:val="auto"/>
                <w:spacing w:val="1"/>
                <w:sz w:val="21"/>
                <w:szCs w:val="21"/>
                <w:highlight w:val="none"/>
                <w:lang w:val="en-US" w:eastAsia="zh-CN"/>
              </w:rPr>
              <w:t>30</w:t>
            </w:r>
            <w:r>
              <w:rPr>
                <w:color w:val="auto"/>
                <w:spacing w:val="1"/>
                <w:sz w:val="21"/>
                <w:szCs w:val="21"/>
                <w:highlight w:val="none"/>
              </w:rPr>
              <w:t xml:space="preserve"> 分。</w:t>
            </w:r>
            <w:r>
              <w:rPr>
                <w:color w:val="auto"/>
                <w:sz w:val="21"/>
                <w:szCs w:val="21"/>
                <w:highlight w:val="none"/>
              </w:rPr>
              <w:t xml:space="preserve"> 每有 1 条不满足或负偏离的扣 </w:t>
            </w:r>
            <w:r>
              <w:rPr>
                <w:rFonts w:hint="eastAsia"/>
                <w:color w:val="auto"/>
                <w:sz w:val="21"/>
                <w:szCs w:val="21"/>
                <w:highlight w:val="none"/>
                <w:lang w:val="en-US" w:eastAsia="zh-CN"/>
              </w:rPr>
              <w:t>3</w:t>
            </w:r>
            <w:r>
              <w:rPr>
                <w:color w:val="auto"/>
                <w:sz w:val="21"/>
                <w:szCs w:val="21"/>
                <w:highlight w:val="none"/>
              </w:rPr>
              <w:t xml:space="preserve"> 分，扣完为止。</w:t>
            </w:r>
          </w:p>
        </w:tc>
        <w:tc>
          <w:tcPr>
            <w:tcW w:w="877" w:type="dxa"/>
            <w:vAlign w:val="center"/>
          </w:tcPr>
          <w:p w14:paraId="7EE208FE">
            <w:pPr>
              <w:pStyle w:val="419"/>
              <w:spacing w:before="68" w:line="220" w:lineRule="auto"/>
              <w:jc w:val="center"/>
              <w:rPr>
                <w:color w:val="auto"/>
                <w:sz w:val="21"/>
                <w:szCs w:val="21"/>
                <w:highlight w:val="none"/>
              </w:rPr>
            </w:pPr>
            <w:r>
              <w:rPr>
                <w:rFonts w:hint="eastAsia"/>
                <w:b/>
                <w:bCs/>
                <w:color w:val="auto"/>
                <w:spacing w:val="-2"/>
                <w:sz w:val="21"/>
                <w:szCs w:val="21"/>
                <w:highlight w:val="none"/>
                <w:lang w:val="en-US" w:eastAsia="zh-CN"/>
              </w:rPr>
              <w:t>30</w:t>
            </w:r>
            <w:r>
              <w:rPr>
                <w:b/>
                <w:bCs/>
                <w:color w:val="auto"/>
                <w:spacing w:val="-2"/>
                <w:sz w:val="21"/>
                <w:szCs w:val="21"/>
                <w:highlight w:val="none"/>
              </w:rPr>
              <w:t>分</w:t>
            </w:r>
          </w:p>
        </w:tc>
      </w:tr>
      <w:tr w14:paraId="2CE4E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4" w:hRule="atLeast"/>
        </w:trPr>
        <w:tc>
          <w:tcPr>
            <w:tcW w:w="1217" w:type="dxa"/>
            <w:tcBorders>
              <w:bottom w:val="nil"/>
            </w:tcBorders>
            <w:vAlign w:val="center"/>
          </w:tcPr>
          <w:p w14:paraId="3D46B8F0">
            <w:pPr>
              <w:spacing w:line="244" w:lineRule="auto"/>
              <w:jc w:val="center"/>
              <w:rPr>
                <w:rFonts w:ascii="仿宋" w:hAnsi="仿宋" w:eastAsia="仿宋" w:cs="仿宋"/>
                <w:color w:val="auto"/>
                <w:spacing w:val="-2"/>
                <w:kern w:val="2"/>
                <w:sz w:val="21"/>
                <w:szCs w:val="21"/>
                <w:highlight w:val="none"/>
                <w:lang w:val="en-US" w:eastAsia="en-US" w:bidi="ar-SA"/>
              </w:rPr>
            </w:pPr>
          </w:p>
          <w:p w14:paraId="3F7C5D61">
            <w:pPr>
              <w:pStyle w:val="419"/>
              <w:spacing w:before="68" w:line="347" w:lineRule="auto"/>
              <w:ind w:right="155"/>
              <w:jc w:val="center"/>
              <w:rPr>
                <w:rFonts w:ascii="仿宋" w:hAnsi="仿宋" w:eastAsia="仿宋" w:cs="仿宋"/>
                <w:color w:val="auto"/>
                <w:spacing w:val="-2"/>
                <w:kern w:val="2"/>
                <w:sz w:val="21"/>
                <w:szCs w:val="21"/>
                <w:highlight w:val="none"/>
                <w:lang w:val="en-US" w:eastAsia="en-US" w:bidi="ar-SA"/>
              </w:rPr>
            </w:pPr>
            <w:r>
              <w:rPr>
                <w:rFonts w:ascii="仿宋" w:hAnsi="仿宋" w:eastAsia="仿宋" w:cs="仿宋"/>
                <w:color w:val="auto"/>
                <w:spacing w:val="-2"/>
                <w:kern w:val="2"/>
                <w:sz w:val="21"/>
                <w:szCs w:val="21"/>
                <w:highlight w:val="none"/>
                <w:lang w:val="en-US" w:eastAsia="en-US" w:bidi="ar-SA"/>
              </w:rPr>
              <w:t>售后服务方案及承诺</w:t>
            </w:r>
          </w:p>
        </w:tc>
        <w:tc>
          <w:tcPr>
            <w:tcW w:w="7202" w:type="dxa"/>
            <w:vAlign w:val="top"/>
          </w:tcPr>
          <w:p w14:paraId="30D6AE68">
            <w:pPr>
              <w:pStyle w:val="419"/>
              <w:spacing w:before="17" w:line="350" w:lineRule="auto"/>
              <w:ind w:left="106" w:right="81"/>
              <w:rPr>
                <w:color w:val="auto"/>
                <w:sz w:val="21"/>
                <w:szCs w:val="21"/>
                <w:highlight w:val="none"/>
              </w:rPr>
            </w:pPr>
            <w:r>
              <w:rPr>
                <w:color w:val="auto"/>
                <w:spacing w:val="3"/>
                <w:sz w:val="21"/>
                <w:szCs w:val="21"/>
                <w:highlight w:val="none"/>
              </w:rPr>
              <w:t>评标委员会根据各投标人的供货安装调试方案、培训方案及</w:t>
            </w:r>
            <w:r>
              <w:rPr>
                <w:color w:val="auto"/>
                <w:spacing w:val="2"/>
                <w:sz w:val="21"/>
                <w:szCs w:val="21"/>
                <w:highlight w:val="none"/>
              </w:rPr>
              <w:t>厂家售后服务承诺</w:t>
            </w:r>
            <w:r>
              <w:rPr>
                <w:color w:val="auto"/>
                <w:sz w:val="21"/>
                <w:szCs w:val="21"/>
                <w:highlight w:val="none"/>
              </w:rPr>
              <w:t>方案等情况进行综合评审，</w:t>
            </w:r>
            <w:r>
              <w:rPr>
                <w:color w:val="auto"/>
                <w:spacing w:val="6"/>
                <w:sz w:val="21"/>
                <w:szCs w:val="21"/>
                <w:highlight w:val="none"/>
              </w:rPr>
              <w:t>优的</w:t>
            </w:r>
            <w:r>
              <w:rPr>
                <w:rFonts w:hint="eastAsia"/>
                <w:color w:val="auto"/>
                <w:spacing w:val="6"/>
                <w:sz w:val="21"/>
                <w:szCs w:val="21"/>
                <w:highlight w:val="none"/>
                <w:lang w:eastAsia="zh-CN"/>
              </w:rPr>
              <w:t>（</w:t>
            </w:r>
            <w:r>
              <w:rPr>
                <w:rFonts w:hint="eastAsia"/>
                <w:color w:val="auto"/>
                <w:spacing w:val="6"/>
                <w:sz w:val="21"/>
                <w:szCs w:val="21"/>
                <w:highlight w:val="none"/>
                <w:lang w:val="en-US" w:eastAsia="zh-CN"/>
              </w:rPr>
              <w:t>15.00</w:t>
            </w:r>
            <w:r>
              <w:rPr>
                <w:color w:val="auto"/>
                <w:spacing w:val="6"/>
                <w:sz w:val="21"/>
                <w:szCs w:val="21"/>
                <w:highlight w:val="none"/>
              </w:rPr>
              <w:t>-</w:t>
            </w:r>
            <w:r>
              <w:rPr>
                <w:rFonts w:hint="eastAsia"/>
                <w:color w:val="auto"/>
                <w:spacing w:val="6"/>
                <w:sz w:val="21"/>
                <w:szCs w:val="21"/>
                <w:highlight w:val="none"/>
                <w:lang w:val="en-US" w:eastAsia="zh-CN"/>
              </w:rPr>
              <w:t>10.01</w:t>
            </w:r>
            <w:r>
              <w:rPr>
                <w:color w:val="auto"/>
                <w:spacing w:val="6"/>
                <w:sz w:val="21"/>
                <w:szCs w:val="21"/>
                <w:highlight w:val="none"/>
              </w:rPr>
              <w:t>)分，良好的</w:t>
            </w:r>
            <w:r>
              <w:rPr>
                <w:rFonts w:hint="eastAsia"/>
                <w:color w:val="auto"/>
                <w:spacing w:val="6"/>
                <w:sz w:val="21"/>
                <w:szCs w:val="21"/>
                <w:highlight w:val="none"/>
                <w:lang w:eastAsia="zh-CN"/>
              </w:rPr>
              <w:t>（</w:t>
            </w:r>
            <w:r>
              <w:rPr>
                <w:rFonts w:hint="eastAsia"/>
                <w:color w:val="auto"/>
                <w:spacing w:val="6"/>
                <w:sz w:val="21"/>
                <w:szCs w:val="21"/>
                <w:highlight w:val="none"/>
                <w:lang w:val="en-US" w:eastAsia="zh-CN"/>
              </w:rPr>
              <w:t>10.00</w:t>
            </w:r>
            <w:r>
              <w:rPr>
                <w:color w:val="auto"/>
                <w:spacing w:val="6"/>
                <w:sz w:val="21"/>
                <w:szCs w:val="21"/>
                <w:highlight w:val="none"/>
              </w:rPr>
              <w:t>-</w:t>
            </w:r>
            <w:r>
              <w:rPr>
                <w:rFonts w:hint="eastAsia"/>
                <w:color w:val="auto"/>
                <w:spacing w:val="6"/>
                <w:sz w:val="21"/>
                <w:szCs w:val="21"/>
                <w:highlight w:val="none"/>
                <w:lang w:val="en-US" w:eastAsia="zh-CN"/>
              </w:rPr>
              <w:t>5.01</w:t>
            </w:r>
            <w:r>
              <w:rPr>
                <w:color w:val="auto"/>
                <w:spacing w:val="6"/>
                <w:sz w:val="21"/>
                <w:szCs w:val="21"/>
                <w:highlight w:val="none"/>
              </w:rPr>
              <w:t>)</w:t>
            </w:r>
            <w:r>
              <w:rPr>
                <w:color w:val="auto"/>
                <w:sz w:val="21"/>
                <w:szCs w:val="21"/>
                <w:highlight w:val="none"/>
              </w:rPr>
              <w:t xml:space="preserve"> </w:t>
            </w:r>
            <w:r>
              <w:rPr>
                <w:color w:val="auto"/>
                <w:spacing w:val="2"/>
                <w:sz w:val="21"/>
                <w:szCs w:val="21"/>
                <w:highlight w:val="none"/>
              </w:rPr>
              <w:t>分，一般的</w:t>
            </w:r>
            <w:r>
              <w:rPr>
                <w:rFonts w:hint="eastAsia"/>
                <w:color w:val="auto"/>
                <w:spacing w:val="2"/>
                <w:sz w:val="21"/>
                <w:szCs w:val="21"/>
                <w:highlight w:val="none"/>
                <w:lang w:eastAsia="zh-CN"/>
              </w:rPr>
              <w:t>（</w:t>
            </w:r>
            <w:r>
              <w:rPr>
                <w:rFonts w:hint="eastAsia"/>
                <w:color w:val="auto"/>
                <w:spacing w:val="2"/>
                <w:sz w:val="21"/>
                <w:szCs w:val="21"/>
                <w:highlight w:val="none"/>
                <w:lang w:val="en-US" w:eastAsia="zh-CN"/>
              </w:rPr>
              <w:t>5.00</w:t>
            </w:r>
            <w:r>
              <w:rPr>
                <w:color w:val="auto"/>
                <w:spacing w:val="2"/>
                <w:sz w:val="21"/>
                <w:szCs w:val="21"/>
                <w:highlight w:val="none"/>
              </w:rPr>
              <w:t>-</w:t>
            </w:r>
            <w:r>
              <w:rPr>
                <w:rFonts w:hint="eastAsia"/>
                <w:color w:val="auto"/>
                <w:spacing w:val="2"/>
                <w:sz w:val="21"/>
                <w:szCs w:val="21"/>
                <w:highlight w:val="none"/>
                <w:lang w:val="en-US" w:eastAsia="zh-CN"/>
              </w:rPr>
              <w:t>0.01</w:t>
            </w:r>
            <w:r>
              <w:rPr>
                <w:color w:val="auto"/>
                <w:spacing w:val="2"/>
                <w:sz w:val="21"/>
                <w:szCs w:val="21"/>
                <w:highlight w:val="none"/>
              </w:rPr>
              <w:t>)分，差的</w:t>
            </w:r>
            <w:r>
              <w:rPr>
                <w:rFonts w:hint="eastAsia"/>
                <w:color w:val="auto"/>
                <w:spacing w:val="2"/>
                <w:sz w:val="21"/>
                <w:szCs w:val="21"/>
                <w:highlight w:val="none"/>
                <w:lang w:eastAsia="zh-CN"/>
              </w:rPr>
              <w:t>不得分</w:t>
            </w:r>
            <w:r>
              <w:rPr>
                <w:color w:val="auto"/>
                <w:spacing w:val="2"/>
                <w:sz w:val="21"/>
                <w:szCs w:val="21"/>
                <w:highlight w:val="none"/>
              </w:rPr>
              <w:t>。</w:t>
            </w:r>
            <w:r>
              <w:rPr>
                <w:b/>
                <w:bCs/>
                <w:color w:val="auto"/>
                <w:spacing w:val="2"/>
                <w:sz w:val="21"/>
                <w:szCs w:val="21"/>
                <w:highlight w:val="none"/>
              </w:rPr>
              <w:t>配有较强的</w:t>
            </w:r>
            <w:r>
              <w:rPr>
                <w:b/>
                <w:bCs/>
                <w:color w:val="auto"/>
                <w:spacing w:val="1"/>
                <w:sz w:val="21"/>
                <w:szCs w:val="21"/>
                <w:highlight w:val="none"/>
              </w:rPr>
              <w:t>专业技术队伍（需提供相关证明资</w:t>
            </w:r>
            <w:r>
              <w:rPr>
                <w:b/>
                <w:bCs/>
                <w:color w:val="auto"/>
                <w:sz w:val="21"/>
                <w:szCs w:val="21"/>
                <w:highlight w:val="none"/>
              </w:rPr>
              <w:t>料）提供快速优质的服务响应和技术支持。</w:t>
            </w:r>
            <w:r>
              <w:rPr>
                <w:color w:val="auto"/>
                <w:sz w:val="21"/>
                <w:szCs w:val="21"/>
                <w:highlight w:val="none"/>
              </w:rPr>
              <w:t>投标文件无相</w:t>
            </w:r>
            <w:r>
              <w:rPr>
                <w:color w:val="auto"/>
                <w:spacing w:val="-1"/>
                <w:sz w:val="21"/>
                <w:szCs w:val="21"/>
                <w:highlight w:val="none"/>
              </w:rPr>
              <w:t>关内容则不得分。</w:t>
            </w:r>
          </w:p>
        </w:tc>
        <w:tc>
          <w:tcPr>
            <w:tcW w:w="877" w:type="dxa"/>
            <w:tcBorders>
              <w:bottom w:val="nil"/>
            </w:tcBorders>
            <w:vAlign w:val="center"/>
          </w:tcPr>
          <w:p w14:paraId="601EB68C">
            <w:pPr>
              <w:pStyle w:val="419"/>
              <w:spacing w:before="68" w:line="220" w:lineRule="auto"/>
              <w:jc w:val="center"/>
              <w:rPr>
                <w:color w:val="auto"/>
                <w:sz w:val="21"/>
                <w:szCs w:val="21"/>
                <w:highlight w:val="none"/>
              </w:rPr>
            </w:pPr>
            <w:r>
              <w:rPr>
                <w:b/>
                <w:bCs/>
                <w:color w:val="auto"/>
                <w:spacing w:val="-6"/>
                <w:sz w:val="21"/>
                <w:szCs w:val="21"/>
                <w:highlight w:val="none"/>
              </w:rPr>
              <w:t>1</w:t>
            </w:r>
            <w:r>
              <w:rPr>
                <w:rFonts w:hint="eastAsia"/>
                <w:b/>
                <w:bCs/>
                <w:color w:val="auto"/>
                <w:spacing w:val="-6"/>
                <w:sz w:val="21"/>
                <w:szCs w:val="21"/>
                <w:highlight w:val="none"/>
                <w:lang w:val="en-US" w:eastAsia="zh-CN"/>
              </w:rPr>
              <w:t>5</w:t>
            </w:r>
            <w:r>
              <w:rPr>
                <w:b/>
                <w:bCs/>
                <w:color w:val="auto"/>
                <w:spacing w:val="-6"/>
                <w:sz w:val="21"/>
                <w:szCs w:val="21"/>
                <w:highlight w:val="none"/>
              </w:rPr>
              <w:t>分</w:t>
            </w:r>
          </w:p>
        </w:tc>
      </w:tr>
      <w:tr w14:paraId="3B662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0" w:hRule="atLeast"/>
        </w:trPr>
        <w:tc>
          <w:tcPr>
            <w:tcW w:w="1217" w:type="dxa"/>
            <w:vAlign w:val="center"/>
          </w:tcPr>
          <w:p w14:paraId="76958745">
            <w:pPr>
              <w:pStyle w:val="419"/>
              <w:spacing w:before="69" w:line="218" w:lineRule="auto"/>
              <w:jc w:val="center"/>
              <w:rPr>
                <w:rFonts w:ascii="仿宋" w:hAnsi="仿宋" w:eastAsia="仿宋" w:cs="仿宋"/>
                <w:color w:val="auto"/>
                <w:spacing w:val="-2"/>
                <w:kern w:val="2"/>
                <w:sz w:val="21"/>
                <w:szCs w:val="21"/>
                <w:highlight w:val="none"/>
                <w:lang w:val="en-US" w:eastAsia="en-US" w:bidi="ar-SA"/>
              </w:rPr>
            </w:pPr>
            <w:r>
              <w:rPr>
                <w:rFonts w:ascii="仿宋" w:hAnsi="仿宋" w:eastAsia="仿宋" w:cs="仿宋"/>
                <w:color w:val="auto"/>
                <w:spacing w:val="-2"/>
                <w:kern w:val="2"/>
                <w:sz w:val="21"/>
                <w:szCs w:val="21"/>
                <w:highlight w:val="none"/>
                <w:lang w:val="en-US" w:eastAsia="en-US" w:bidi="ar-SA"/>
              </w:rPr>
              <w:t>报价</w:t>
            </w:r>
          </w:p>
        </w:tc>
        <w:tc>
          <w:tcPr>
            <w:tcW w:w="7202" w:type="dxa"/>
            <w:vAlign w:val="top"/>
          </w:tcPr>
          <w:p w14:paraId="5E77F8AC">
            <w:pPr>
              <w:pStyle w:val="419"/>
              <w:spacing w:before="28" w:line="218" w:lineRule="auto"/>
              <w:ind w:left="106"/>
              <w:rPr>
                <w:color w:val="auto"/>
                <w:sz w:val="21"/>
                <w:szCs w:val="21"/>
                <w:highlight w:val="none"/>
              </w:rPr>
            </w:pPr>
            <w:r>
              <w:rPr>
                <w:color w:val="auto"/>
                <w:spacing w:val="1"/>
                <w:sz w:val="21"/>
                <w:szCs w:val="21"/>
                <w:highlight w:val="none"/>
              </w:rPr>
              <w:t>报价：投标人报价得分</w:t>
            </w:r>
            <w:r>
              <w:rPr>
                <w:color w:val="auto"/>
                <w:spacing w:val="4"/>
                <w:sz w:val="21"/>
                <w:szCs w:val="21"/>
                <w:highlight w:val="none"/>
              </w:rPr>
              <w:t>＝（</w:t>
            </w:r>
            <w:r>
              <w:rPr>
                <w:color w:val="auto"/>
                <w:spacing w:val="1"/>
                <w:sz w:val="21"/>
                <w:szCs w:val="21"/>
                <w:highlight w:val="none"/>
              </w:rPr>
              <w:t>评标基准价/投标报价）×30%×</w:t>
            </w:r>
            <w:r>
              <w:rPr>
                <w:color w:val="auto"/>
                <w:spacing w:val="-39"/>
                <w:sz w:val="21"/>
                <w:szCs w:val="21"/>
                <w:highlight w:val="none"/>
              </w:rPr>
              <w:t xml:space="preserve"> </w:t>
            </w:r>
            <w:r>
              <w:rPr>
                <w:color w:val="auto"/>
                <w:spacing w:val="1"/>
                <w:sz w:val="21"/>
                <w:szCs w:val="21"/>
                <w:highlight w:val="none"/>
              </w:rPr>
              <w:t>100；</w:t>
            </w:r>
          </w:p>
          <w:p w14:paraId="5EED62D9">
            <w:pPr>
              <w:pStyle w:val="419"/>
              <w:spacing w:before="159" w:line="344" w:lineRule="auto"/>
              <w:ind w:left="107" w:right="181" w:hanging="1"/>
              <w:jc w:val="both"/>
              <w:rPr>
                <w:color w:val="auto"/>
                <w:sz w:val="21"/>
                <w:szCs w:val="21"/>
                <w:highlight w:val="none"/>
              </w:rPr>
            </w:pPr>
            <w:r>
              <w:rPr>
                <w:color w:val="auto"/>
                <w:sz w:val="21"/>
                <w:szCs w:val="21"/>
                <w:highlight w:val="none"/>
              </w:rPr>
              <w:t>评标基准价为满足招标文件要求且投标价格最低的投标报价；投标人报价为投标函中投标总价。（商务报价分计算至小数点后第二位、小数点后第三位四舍</w:t>
            </w:r>
            <w:r>
              <w:rPr>
                <w:color w:val="auto"/>
                <w:spacing w:val="6"/>
                <w:sz w:val="21"/>
                <w:szCs w:val="21"/>
                <w:highlight w:val="none"/>
              </w:rPr>
              <w:t xml:space="preserve"> </w:t>
            </w:r>
            <w:r>
              <w:rPr>
                <w:color w:val="auto"/>
                <w:spacing w:val="-3"/>
                <w:sz w:val="21"/>
                <w:szCs w:val="21"/>
                <w:highlight w:val="none"/>
              </w:rPr>
              <w:t>五入）</w:t>
            </w:r>
            <w:r>
              <w:rPr>
                <w:b/>
                <w:bCs/>
                <w:color w:val="auto"/>
                <w:spacing w:val="-3"/>
                <w:sz w:val="21"/>
                <w:szCs w:val="21"/>
                <w:highlight w:val="none"/>
              </w:rPr>
              <w:t>。</w:t>
            </w:r>
          </w:p>
        </w:tc>
        <w:tc>
          <w:tcPr>
            <w:tcW w:w="877" w:type="dxa"/>
            <w:vAlign w:val="center"/>
          </w:tcPr>
          <w:p w14:paraId="7A078191">
            <w:pPr>
              <w:pStyle w:val="419"/>
              <w:spacing w:before="68" w:line="220" w:lineRule="auto"/>
              <w:jc w:val="center"/>
              <w:rPr>
                <w:color w:val="auto"/>
                <w:sz w:val="21"/>
                <w:szCs w:val="21"/>
                <w:highlight w:val="none"/>
              </w:rPr>
            </w:pPr>
            <w:r>
              <w:rPr>
                <w:b/>
                <w:bCs/>
                <w:color w:val="auto"/>
                <w:spacing w:val="-2"/>
                <w:sz w:val="21"/>
                <w:szCs w:val="21"/>
                <w:highlight w:val="none"/>
              </w:rPr>
              <w:t>30分</w:t>
            </w:r>
          </w:p>
        </w:tc>
      </w:tr>
    </w:tbl>
    <w:p w14:paraId="63F74245">
      <w:pPr>
        <w:spacing w:before="128" w:line="229" w:lineRule="auto"/>
        <w:ind w:left="543"/>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备注：</w:t>
      </w:r>
    </w:p>
    <w:p w14:paraId="3A5C4AF4">
      <w:pPr>
        <w:spacing w:before="219" w:line="227" w:lineRule="auto"/>
        <w:ind w:left="441"/>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w:t>
      </w:r>
      <w:r>
        <w:rPr>
          <w:rFonts w:ascii="宋体" w:hAnsi="宋体" w:eastAsia="宋体" w:cs="宋体"/>
          <w:color w:val="auto"/>
          <w:spacing w:val="-52"/>
          <w:sz w:val="20"/>
          <w:szCs w:val="20"/>
          <w:highlight w:val="none"/>
        </w:rPr>
        <w:t xml:space="preserve"> </w:t>
      </w:r>
      <w:r>
        <w:rPr>
          <w:rFonts w:ascii="宋体" w:hAnsi="宋体" w:eastAsia="宋体" w:cs="宋体"/>
          <w:b/>
          <w:bCs/>
          <w:color w:val="auto"/>
          <w:spacing w:val="6"/>
          <w:sz w:val="20"/>
          <w:szCs w:val="20"/>
          <w:highlight w:val="none"/>
        </w:rPr>
        <w:t>以上评分汇总分精确至小数点后二位、小数点后第三位四舍五入。</w:t>
      </w:r>
    </w:p>
    <w:p w14:paraId="1A0717BD">
      <w:pPr>
        <w:spacing w:before="222" w:line="417" w:lineRule="auto"/>
        <w:ind w:left="138" w:right="4" w:firstLine="307"/>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（2）响应人提供的证明材料要能清晰反映评分的实质内容，如因材料模糊不清，导致无法辨认</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7"/>
          <w:sz w:val="20"/>
          <w:szCs w:val="20"/>
          <w:highlight w:val="none"/>
        </w:rPr>
        <w:t>的磋商小组，磋商小组可以不予认可，一切后果由响应人自行承担。</w:t>
      </w:r>
    </w:p>
    <w:p w14:paraId="6CCE47C5">
      <w:pPr>
        <w:spacing w:before="32" w:line="417" w:lineRule="auto"/>
        <w:ind w:left="120" w:right="2" w:firstLine="43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（3）以上评分项中要求响应人提供的证明文件，响应人提供证明</w:t>
      </w:r>
      <w:r>
        <w:rPr>
          <w:rFonts w:ascii="宋体" w:hAnsi="宋体" w:eastAsia="宋体" w:cs="宋体"/>
          <w:b/>
          <w:bCs/>
          <w:color w:val="auto"/>
          <w:spacing w:val="5"/>
          <w:sz w:val="20"/>
          <w:szCs w:val="20"/>
          <w:highlight w:val="none"/>
        </w:rPr>
        <w:t>文件的扫描件或复印件或影印</w:t>
      </w:r>
      <w:r>
        <w:rPr>
          <w:rFonts w:ascii="宋体" w:hAnsi="宋体" w:eastAsia="宋体" w:cs="宋体"/>
          <w:color w:val="auto"/>
          <w:sz w:val="20"/>
          <w:szCs w:val="20"/>
          <w:highlight w:val="none"/>
        </w:rPr>
        <w:t xml:space="preserve"> </w:t>
      </w:r>
      <w:r>
        <w:rPr>
          <w:rFonts w:ascii="宋体" w:hAnsi="宋体" w:eastAsia="宋体" w:cs="宋体"/>
          <w:b/>
          <w:bCs/>
          <w:color w:val="auto"/>
          <w:spacing w:val="6"/>
          <w:sz w:val="20"/>
          <w:szCs w:val="20"/>
          <w:highlight w:val="none"/>
        </w:rPr>
        <w:t>件加盖响应人公章。</w:t>
      </w:r>
    </w:p>
    <w:p w14:paraId="00016835">
      <w:pPr>
        <w:spacing w:before="18" w:line="219" w:lineRule="auto"/>
        <w:ind w:left="84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2.4.3 分值汇总</w:t>
      </w:r>
    </w:p>
    <w:p w14:paraId="0CB0CE90">
      <w:pPr>
        <w:spacing w:before="182" w:line="313" w:lineRule="auto"/>
        <w:ind w:left="122" w:firstLine="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（1）磋商小组各成员应当独立对每个有效响应的文件进行评价、打分，然后汇总</w:t>
      </w:r>
      <w:r>
        <w:rPr>
          <w:rFonts w:ascii="宋体" w:hAnsi="宋体" w:eastAsia="宋体" w:cs="宋体"/>
          <w:color w:val="auto"/>
          <w:spacing w:val="14"/>
          <w:sz w:val="24"/>
          <w:szCs w:val="24"/>
          <w:highlight w:val="none"/>
        </w:rPr>
        <w:t xml:space="preserve"> </w:t>
      </w:r>
      <w:r>
        <w:rPr>
          <w:rFonts w:ascii="宋体" w:hAnsi="宋体" w:eastAsia="宋体" w:cs="宋体"/>
          <w:color w:val="auto"/>
          <w:spacing w:val="-2"/>
          <w:sz w:val="24"/>
          <w:szCs w:val="24"/>
          <w:highlight w:val="none"/>
        </w:rPr>
        <w:t>每个供应商每项评分因素的得分，再取各位评委评分之平均值，四舍五入保留至小数点</w:t>
      </w:r>
      <w:r>
        <w:rPr>
          <w:rFonts w:ascii="宋体" w:hAnsi="宋体" w:eastAsia="宋体" w:cs="宋体"/>
          <w:color w:val="auto"/>
          <w:spacing w:val="15"/>
          <w:sz w:val="24"/>
          <w:szCs w:val="24"/>
          <w:highlight w:val="none"/>
        </w:rPr>
        <w:t xml:space="preserve"> </w:t>
      </w:r>
      <w:r>
        <w:rPr>
          <w:rFonts w:ascii="宋体" w:hAnsi="宋体" w:eastAsia="宋体" w:cs="宋体"/>
          <w:color w:val="auto"/>
          <w:spacing w:val="-1"/>
          <w:sz w:val="24"/>
          <w:szCs w:val="24"/>
          <w:highlight w:val="none"/>
        </w:rPr>
        <w:t>后两位数，得到该供应商的技术资信分。</w:t>
      </w:r>
    </w:p>
    <w:p w14:paraId="5E444FD7">
      <w:pPr>
        <w:spacing w:before="183" w:line="290" w:lineRule="auto"/>
        <w:ind w:left="127" w:right="69" w:firstLine="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（2）将每个供应商的技术资信分加上根据上述标准计算出的价格分，即为该供应</w:t>
      </w:r>
      <w:r>
        <w:rPr>
          <w:rFonts w:ascii="宋体" w:hAnsi="宋体" w:eastAsia="宋体" w:cs="宋体"/>
          <w:color w:val="auto"/>
          <w:spacing w:val="14"/>
          <w:sz w:val="24"/>
          <w:szCs w:val="24"/>
          <w:highlight w:val="none"/>
        </w:rPr>
        <w:t xml:space="preserve"> </w:t>
      </w:r>
      <w:r>
        <w:rPr>
          <w:rFonts w:ascii="宋体" w:hAnsi="宋体" w:eastAsia="宋体" w:cs="宋体"/>
          <w:color w:val="auto"/>
          <w:spacing w:val="-2"/>
          <w:sz w:val="24"/>
          <w:szCs w:val="24"/>
          <w:highlight w:val="none"/>
        </w:rPr>
        <w:t>商的综合总得分。</w:t>
      </w:r>
    </w:p>
    <w:bookmarkEnd w:id="246"/>
    <w:bookmarkEnd w:id="247"/>
    <w:bookmarkEnd w:id="248"/>
    <w:bookmarkEnd w:id="249"/>
    <w:bookmarkEnd w:id="250"/>
    <w:bookmarkEnd w:id="251"/>
    <w:bookmarkEnd w:id="252"/>
    <w:bookmarkEnd w:id="253"/>
    <w:p w14:paraId="0E8443B6">
      <w:pPr>
        <w:pStyle w:val="2"/>
        <w:numPr>
          <w:ilvl w:val="0"/>
          <w:numId w:val="0"/>
        </w:numPr>
        <w:tabs>
          <w:tab w:val="clear" w:pos="1440"/>
          <w:tab w:val="clear" w:pos="5670"/>
        </w:tabs>
        <w:ind w:leftChars="1203"/>
        <w:rPr>
          <w:color w:val="auto"/>
          <w:highlight w:val="none"/>
        </w:rPr>
      </w:pPr>
      <w:bookmarkStart w:id="254" w:name="_Toc25877"/>
      <w:r>
        <w:rPr>
          <w:rFonts w:hint="eastAsia"/>
          <w:color w:val="auto"/>
          <w:highlight w:val="none"/>
          <w:lang w:val="en-US" w:eastAsia="zh-CN"/>
        </w:rPr>
        <w:t xml:space="preserve">第五章  </w:t>
      </w:r>
      <w:r>
        <w:rPr>
          <w:rFonts w:hint="eastAsia"/>
          <w:color w:val="auto"/>
          <w:highlight w:val="none"/>
        </w:rPr>
        <w:t>政府采购合同主要条款</w:t>
      </w:r>
      <w:bookmarkEnd w:id="254"/>
      <w:r>
        <w:rPr>
          <w:rFonts w:hint="eastAsia"/>
          <w:color w:val="auto"/>
          <w:highlight w:val="none"/>
        </w:rPr>
        <w:t xml:space="preserve"> </w:t>
      </w:r>
    </w:p>
    <w:p w14:paraId="0D92CAFD">
      <w:pPr>
        <w:spacing w:line="360" w:lineRule="auto"/>
        <w:jc w:val="center"/>
        <w:outlineLvl w:val="2"/>
        <w:rPr>
          <w:rFonts w:asciiTheme="minorEastAsia" w:hAnsiTheme="minorEastAsia" w:eastAsiaTheme="minorEastAsia"/>
          <w:b/>
          <w:color w:val="auto"/>
          <w:sz w:val="28"/>
          <w:szCs w:val="28"/>
          <w:highlight w:val="none"/>
        </w:rPr>
      </w:pPr>
      <w:bookmarkStart w:id="255" w:name="_Toc12757"/>
      <w:r>
        <w:rPr>
          <w:rFonts w:hint="eastAsia" w:asciiTheme="minorEastAsia" w:hAnsiTheme="minorEastAsia" w:eastAsiaTheme="minorEastAsia"/>
          <w:b/>
          <w:color w:val="auto"/>
          <w:sz w:val="28"/>
          <w:szCs w:val="28"/>
          <w:highlight w:val="none"/>
        </w:rPr>
        <w:t>货物类合同条款</w:t>
      </w:r>
      <w:bookmarkEnd w:id="255"/>
    </w:p>
    <w:p w14:paraId="0CD89F8E">
      <w:pPr>
        <w:spacing w:line="360" w:lineRule="auto"/>
        <w:jc w:val="center"/>
        <w:outlineLvl w:val="2"/>
        <w:rPr>
          <w:rFonts w:asciiTheme="minorEastAsia" w:hAnsiTheme="minorEastAsia" w:eastAsiaTheme="minorEastAsia"/>
          <w:b/>
          <w:color w:val="auto"/>
          <w:sz w:val="24"/>
          <w:highlight w:val="none"/>
        </w:rPr>
      </w:pPr>
      <w:bookmarkStart w:id="256" w:name="_Toc31841"/>
      <w:r>
        <w:rPr>
          <w:rFonts w:hint="eastAsia" w:asciiTheme="minorEastAsia" w:hAnsiTheme="minorEastAsia" w:eastAsiaTheme="minorEastAsia"/>
          <w:b/>
          <w:color w:val="auto"/>
          <w:sz w:val="24"/>
          <w:highlight w:val="none"/>
        </w:rPr>
        <w:t>第一部分 合同书</w:t>
      </w:r>
      <w:bookmarkEnd w:id="256"/>
    </w:p>
    <w:p w14:paraId="02AF7EAE">
      <w:pPr>
        <w:spacing w:line="480" w:lineRule="auto"/>
        <w:jc w:val="center"/>
        <w:rPr>
          <w:rFonts w:asciiTheme="minorEastAsia" w:hAnsiTheme="minorEastAsia" w:eastAsiaTheme="minorEastAsia"/>
          <w:b/>
          <w:color w:val="auto"/>
          <w:sz w:val="24"/>
          <w:highlight w:val="none"/>
        </w:rPr>
      </w:pPr>
    </w:p>
    <w:p w14:paraId="46FC27CE">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_______________</w:t>
      </w:r>
    </w:p>
    <w:p w14:paraId="53E83721">
      <w:pPr>
        <w:spacing w:before="120" w:line="480" w:lineRule="auto"/>
        <w:ind w:left="960"/>
        <w:rPr>
          <w:rFonts w:asciiTheme="minorEastAsia" w:hAnsiTheme="minorEastAsia" w:eastAsiaTheme="minorEastAsia"/>
          <w:color w:val="auto"/>
          <w:sz w:val="24"/>
          <w:highlight w:val="none"/>
        </w:rPr>
      </w:pPr>
    </w:p>
    <w:p w14:paraId="2179B9B4">
      <w:pPr>
        <w:spacing w:before="120" w:line="480" w:lineRule="auto"/>
        <w:ind w:left="960"/>
        <w:rPr>
          <w:rFonts w:asciiTheme="minorEastAsia" w:hAnsiTheme="minorEastAsia" w:eastAsiaTheme="minorEastAsia"/>
          <w:color w:val="auto"/>
          <w:sz w:val="24"/>
          <w:highlight w:val="none"/>
        </w:rPr>
      </w:pPr>
    </w:p>
    <w:p w14:paraId="7FEAAE76">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112EE453">
      <w:pPr>
        <w:spacing w:before="120" w:line="480" w:lineRule="auto"/>
        <w:ind w:left="960"/>
        <w:rPr>
          <w:rFonts w:asciiTheme="minorEastAsia" w:hAnsiTheme="minorEastAsia" w:eastAsiaTheme="minorEastAsia"/>
          <w:color w:val="auto"/>
          <w:sz w:val="24"/>
          <w:highlight w:val="none"/>
        </w:rPr>
      </w:pPr>
    </w:p>
    <w:p w14:paraId="248544AF">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2BD6870B">
      <w:pPr>
        <w:spacing w:before="120" w:line="480" w:lineRule="auto"/>
        <w:ind w:firstLine="960" w:firstLineChars="400"/>
        <w:rPr>
          <w:rFonts w:asciiTheme="minorEastAsia" w:hAnsiTheme="minorEastAsia" w:eastAsiaTheme="minorEastAsia"/>
          <w:color w:val="auto"/>
          <w:sz w:val="24"/>
          <w:highlight w:val="none"/>
        </w:rPr>
      </w:pPr>
    </w:p>
    <w:p w14:paraId="420AFB76">
      <w:pPr>
        <w:spacing w:before="120" w:line="480" w:lineRule="auto"/>
        <w:ind w:firstLine="960" w:firstLineChars="400"/>
        <w:rPr>
          <w:rFonts w:asciiTheme="minorEastAsia" w:hAnsiTheme="minorEastAsia" w:eastAsiaTheme="minorEastAsia"/>
          <w:color w:val="auto"/>
          <w:sz w:val="24"/>
          <w:highlight w:val="none"/>
        </w:rPr>
      </w:pPr>
    </w:p>
    <w:p w14:paraId="435F1922">
      <w:pPr>
        <w:spacing w:before="120" w:line="480" w:lineRule="auto"/>
        <w:ind w:firstLine="960" w:firstLineChars="400"/>
        <w:rPr>
          <w:rFonts w:asciiTheme="minorEastAsia" w:hAnsiTheme="minorEastAsia" w:eastAsiaTheme="minorEastAsia"/>
          <w:color w:val="auto"/>
          <w:sz w:val="24"/>
          <w:highlight w:val="none"/>
        </w:rPr>
      </w:pPr>
    </w:p>
    <w:p w14:paraId="65A710E8">
      <w:pPr>
        <w:spacing w:before="120" w:line="480" w:lineRule="auto"/>
        <w:rPr>
          <w:rFonts w:asciiTheme="minorEastAsia" w:hAnsiTheme="minorEastAsia" w:eastAsiaTheme="minorEastAsia"/>
          <w:color w:val="auto"/>
          <w:sz w:val="24"/>
          <w:highlight w:val="none"/>
        </w:rPr>
      </w:pPr>
    </w:p>
    <w:p w14:paraId="5112A65F">
      <w:pPr>
        <w:spacing w:before="120" w:line="480" w:lineRule="auto"/>
        <w:ind w:firstLine="960" w:firstLineChars="400"/>
        <w:rPr>
          <w:rFonts w:asciiTheme="minorEastAsia" w:hAnsiTheme="minorEastAsia" w:eastAsiaTheme="minorEastAsia"/>
          <w:color w:val="auto"/>
          <w:sz w:val="24"/>
          <w:highlight w:val="none"/>
        </w:rPr>
      </w:pPr>
    </w:p>
    <w:p w14:paraId="6E68717E">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F00ACD9">
      <w:pPr>
        <w:spacing w:before="120" w:line="480" w:lineRule="auto"/>
        <w:ind w:firstLine="960" w:firstLineChars="400"/>
        <w:rPr>
          <w:rFonts w:asciiTheme="minorEastAsia" w:hAnsiTheme="minorEastAsia" w:eastAsiaTheme="minorEastAsia"/>
          <w:color w:val="auto"/>
          <w:sz w:val="24"/>
          <w:highlight w:val="none"/>
        </w:rPr>
      </w:pPr>
    </w:p>
    <w:p w14:paraId="53775BAA">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382DAD94">
      <w:pPr>
        <w:pStyle w:val="74"/>
        <w:rPr>
          <w:color w:val="auto"/>
          <w:highlight w:val="none"/>
        </w:rPr>
      </w:pPr>
    </w:p>
    <w:p w14:paraId="5FB124F6">
      <w:pPr>
        <w:spacing w:line="360" w:lineRule="auto"/>
        <w:ind w:firstLine="435"/>
        <w:rPr>
          <w:rFonts w:hint="eastAsia" w:asciiTheme="minorEastAsia" w:hAnsiTheme="minorEastAsia" w:eastAsiaTheme="minorEastAsia"/>
          <w:color w:val="auto"/>
          <w:sz w:val="24"/>
          <w:highlight w:val="none"/>
        </w:rPr>
      </w:pPr>
    </w:p>
    <w:p w14:paraId="78527EA4">
      <w:pPr>
        <w:spacing w:line="360" w:lineRule="auto"/>
        <w:ind w:firstLine="435"/>
        <w:rPr>
          <w:rFonts w:hint="eastAsia" w:asciiTheme="minorEastAsia" w:hAnsiTheme="minorEastAsia" w:eastAsiaTheme="minorEastAsia"/>
          <w:color w:val="auto"/>
          <w:sz w:val="24"/>
          <w:highlight w:val="none"/>
        </w:rPr>
      </w:pPr>
    </w:p>
    <w:p w14:paraId="14879CB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66FDEED6">
      <w:pPr>
        <w:spacing w:line="360" w:lineRule="auto"/>
        <w:ind w:firstLine="437"/>
        <w:outlineLvl w:val="3"/>
        <w:rPr>
          <w:rFonts w:asciiTheme="minorEastAsia" w:hAnsiTheme="minorEastAsia" w:eastAsiaTheme="minorEastAsia"/>
          <w:b/>
          <w:bCs/>
          <w:color w:val="auto"/>
          <w:sz w:val="24"/>
          <w:highlight w:val="none"/>
          <w:lang w:val="zh-CN"/>
        </w:rPr>
      </w:pPr>
      <w:bookmarkStart w:id="257" w:name="_Toc3029"/>
      <w:bookmarkStart w:id="258" w:name="_Toc24059"/>
      <w:bookmarkStart w:id="259"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257"/>
      <w:bookmarkEnd w:id="258"/>
      <w:bookmarkEnd w:id="259"/>
    </w:p>
    <w:p w14:paraId="21CDC92C">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50477D0">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51C1DE1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7D21C98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38F00110">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485B2D3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0C9E6470">
      <w:pPr>
        <w:spacing w:line="360" w:lineRule="auto"/>
        <w:ind w:firstLine="437"/>
        <w:outlineLvl w:val="3"/>
        <w:rPr>
          <w:rFonts w:asciiTheme="minorEastAsia" w:hAnsiTheme="minorEastAsia" w:eastAsiaTheme="minorEastAsia"/>
          <w:b/>
          <w:bCs/>
          <w:color w:val="auto"/>
          <w:sz w:val="24"/>
          <w:highlight w:val="none"/>
          <w:lang w:val="zh-CN"/>
        </w:rPr>
      </w:pPr>
      <w:bookmarkStart w:id="260" w:name="_Toc27126"/>
      <w:bookmarkStart w:id="261" w:name="_Toc21295"/>
      <w:bookmarkStart w:id="262" w:name="_Toc24300"/>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260"/>
      <w:bookmarkEnd w:id="261"/>
      <w:bookmarkEnd w:id="262"/>
    </w:p>
    <w:tbl>
      <w:tblPr>
        <w:tblStyle w:val="42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1BEDD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19F662C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040BFBE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041A5A6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26C86395">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79568E1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7B694AA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73B7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E0C250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3F991E72">
            <w:pPr>
              <w:jc w:val="center"/>
              <w:rPr>
                <w:rFonts w:asciiTheme="minorEastAsia" w:hAnsiTheme="minorEastAsia" w:eastAsiaTheme="minorEastAsia"/>
                <w:color w:val="auto"/>
                <w:sz w:val="24"/>
                <w:highlight w:val="none"/>
                <w:lang w:val="zh-CN"/>
              </w:rPr>
            </w:pPr>
          </w:p>
        </w:tc>
        <w:tc>
          <w:tcPr>
            <w:tcW w:w="1651" w:type="dxa"/>
            <w:vAlign w:val="center"/>
          </w:tcPr>
          <w:p w14:paraId="35DDE8E9">
            <w:pPr>
              <w:jc w:val="center"/>
              <w:rPr>
                <w:rFonts w:asciiTheme="minorEastAsia" w:hAnsiTheme="minorEastAsia" w:eastAsiaTheme="minorEastAsia"/>
                <w:color w:val="auto"/>
                <w:sz w:val="24"/>
                <w:highlight w:val="none"/>
                <w:lang w:val="zh-CN"/>
              </w:rPr>
            </w:pPr>
          </w:p>
        </w:tc>
        <w:tc>
          <w:tcPr>
            <w:tcW w:w="1647" w:type="dxa"/>
            <w:vAlign w:val="center"/>
          </w:tcPr>
          <w:p w14:paraId="6F1B00EF">
            <w:pPr>
              <w:jc w:val="center"/>
              <w:rPr>
                <w:rFonts w:asciiTheme="minorEastAsia" w:hAnsiTheme="minorEastAsia" w:eastAsiaTheme="minorEastAsia"/>
                <w:color w:val="auto"/>
                <w:sz w:val="24"/>
                <w:highlight w:val="none"/>
                <w:lang w:val="zh-CN"/>
              </w:rPr>
            </w:pPr>
          </w:p>
        </w:tc>
        <w:tc>
          <w:tcPr>
            <w:tcW w:w="1647" w:type="dxa"/>
            <w:vAlign w:val="center"/>
          </w:tcPr>
          <w:p w14:paraId="08F37187">
            <w:pPr>
              <w:jc w:val="center"/>
              <w:rPr>
                <w:rFonts w:asciiTheme="minorEastAsia" w:hAnsiTheme="minorEastAsia" w:eastAsiaTheme="minorEastAsia"/>
                <w:color w:val="auto"/>
                <w:sz w:val="24"/>
                <w:highlight w:val="none"/>
                <w:lang w:val="zh-CN"/>
              </w:rPr>
            </w:pPr>
          </w:p>
        </w:tc>
        <w:tc>
          <w:tcPr>
            <w:tcW w:w="1183" w:type="dxa"/>
            <w:vAlign w:val="center"/>
          </w:tcPr>
          <w:p w14:paraId="449A511F">
            <w:pPr>
              <w:jc w:val="center"/>
              <w:rPr>
                <w:rFonts w:asciiTheme="minorEastAsia" w:hAnsiTheme="minorEastAsia" w:eastAsiaTheme="minorEastAsia"/>
                <w:color w:val="auto"/>
                <w:sz w:val="24"/>
                <w:highlight w:val="none"/>
                <w:lang w:val="zh-CN"/>
              </w:rPr>
            </w:pPr>
          </w:p>
        </w:tc>
      </w:tr>
      <w:tr w14:paraId="6FBD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262F9D02">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763D916E">
            <w:pPr>
              <w:jc w:val="center"/>
              <w:rPr>
                <w:rFonts w:asciiTheme="minorEastAsia" w:hAnsiTheme="minorEastAsia" w:eastAsiaTheme="minorEastAsia"/>
                <w:color w:val="auto"/>
                <w:sz w:val="24"/>
                <w:highlight w:val="none"/>
                <w:lang w:val="zh-CN"/>
              </w:rPr>
            </w:pPr>
          </w:p>
        </w:tc>
        <w:tc>
          <w:tcPr>
            <w:tcW w:w="1651" w:type="dxa"/>
            <w:vAlign w:val="center"/>
          </w:tcPr>
          <w:p w14:paraId="44A12801">
            <w:pPr>
              <w:jc w:val="center"/>
              <w:rPr>
                <w:rFonts w:asciiTheme="minorEastAsia" w:hAnsiTheme="minorEastAsia" w:eastAsiaTheme="minorEastAsia"/>
                <w:color w:val="auto"/>
                <w:sz w:val="24"/>
                <w:highlight w:val="none"/>
                <w:lang w:val="zh-CN"/>
              </w:rPr>
            </w:pPr>
          </w:p>
        </w:tc>
        <w:tc>
          <w:tcPr>
            <w:tcW w:w="1647" w:type="dxa"/>
            <w:vAlign w:val="center"/>
          </w:tcPr>
          <w:p w14:paraId="606FFBAB">
            <w:pPr>
              <w:jc w:val="center"/>
              <w:rPr>
                <w:rFonts w:asciiTheme="minorEastAsia" w:hAnsiTheme="minorEastAsia" w:eastAsiaTheme="minorEastAsia"/>
                <w:color w:val="auto"/>
                <w:sz w:val="24"/>
                <w:highlight w:val="none"/>
                <w:lang w:val="zh-CN"/>
              </w:rPr>
            </w:pPr>
          </w:p>
        </w:tc>
        <w:tc>
          <w:tcPr>
            <w:tcW w:w="1647" w:type="dxa"/>
            <w:vAlign w:val="center"/>
          </w:tcPr>
          <w:p w14:paraId="1A80EDE3">
            <w:pPr>
              <w:jc w:val="center"/>
              <w:rPr>
                <w:rFonts w:asciiTheme="minorEastAsia" w:hAnsiTheme="minorEastAsia" w:eastAsiaTheme="minorEastAsia"/>
                <w:color w:val="auto"/>
                <w:sz w:val="24"/>
                <w:highlight w:val="none"/>
                <w:lang w:val="zh-CN"/>
              </w:rPr>
            </w:pPr>
          </w:p>
        </w:tc>
        <w:tc>
          <w:tcPr>
            <w:tcW w:w="1183" w:type="dxa"/>
            <w:vAlign w:val="center"/>
          </w:tcPr>
          <w:p w14:paraId="59F4B126">
            <w:pPr>
              <w:jc w:val="center"/>
              <w:rPr>
                <w:rFonts w:asciiTheme="minorEastAsia" w:hAnsiTheme="minorEastAsia" w:eastAsiaTheme="minorEastAsia"/>
                <w:color w:val="auto"/>
                <w:sz w:val="24"/>
                <w:highlight w:val="none"/>
                <w:lang w:val="zh-CN"/>
              </w:rPr>
            </w:pPr>
          </w:p>
        </w:tc>
      </w:tr>
      <w:tr w14:paraId="4447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EAABB8A">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038DEBA7">
            <w:pPr>
              <w:jc w:val="center"/>
              <w:rPr>
                <w:rFonts w:asciiTheme="minorEastAsia" w:hAnsiTheme="minorEastAsia" w:eastAsiaTheme="minorEastAsia"/>
                <w:color w:val="auto"/>
                <w:sz w:val="24"/>
                <w:highlight w:val="none"/>
                <w:lang w:val="zh-CN"/>
              </w:rPr>
            </w:pPr>
          </w:p>
        </w:tc>
        <w:tc>
          <w:tcPr>
            <w:tcW w:w="1651" w:type="dxa"/>
            <w:vAlign w:val="center"/>
          </w:tcPr>
          <w:p w14:paraId="57AC9761">
            <w:pPr>
              <w:jc w:val="center"/>
              <w:rPr>
                <w:rFonts w:asciiTheme="minorEastAsia" w:hAnsiTheme="minorEastAsia" w:eastAsiaTheme="minorEastAsia"/>
                <w:color w:val="auto"/>
                <w:sz w:val="24"/>
                <w:highlight w:val="none"/>
                <w:lang w:val="zh-CN"/>
              </w:rPr>
            </w:pPr>
          </w:p>
        </w:tc>
        <w:tc>
          <w:tcPr>
            <w:tcW w:w="1647" w:type="dxa"/>
            <w:vAlign w:val="center"/>
          </w:tcPr>
          <w:p w14:paraId="33326327">
            <w:pPr>
              <w:jc w:val="center"/>
              <w:rPr>
                <w:rFonts w:asciiTheme="minorEastAsia" w:hAnsiTheme="minorEastAsia" w:eastAsiaTheme="minorEastAsia"/>
                <w:color w:val="auto"/>
                <w:sz w:val="24"/>
                <w:highlight w:val="none"/>
                <w:lang w:val="zh-CN"/>
              </w:rPr>
            </w:pPr>
          </w:p>
        </w:tc>
        <w:tc>
          <w:tcPr>
            <w:tcW w:w="1647" w:type="dxa"/>
            <w:vAlign w:val="center"/>
          </w:tcPr>
          <w:p w14:paraId="70147403">
            <w:pPr>
              <w:jc w:val="center"/>
              <w:rPr>
                <w:rFonts w:asciiTheme="minorEastAsia" w:hAnsiTheme="minorEastAsia" w:eastAsiaTheme="minorEastAsia"/>
                <w:color w:val="auto"/>
                <w:sz w:val="24"/>
                <w:highlight w:val="none"/>
                <w:lang w:val="zh-CN"/>
              </w:rPr>
            </w:pPr>
          </w:p>
        </w:tc>
        <w:tc>
          <w:tcPr>
            <w:tcW w:w="1183" w:type="dxa"/>
            <w:vAlign w:val="center"/>
          </w:tcPr>
          <w:p w14:paraId="10E312CE">
            <w:pPr>
              <w:jc w:val="center"/>
              <w:rPr>
                <w:rFonts w:asciiTheme="minorEastAsia" w:hAnsiTheme="minorEastAsia" w:eastAsiaTheme="minorEastAsia"/>
                <w:color w:val="auto"/>
                <w:sz w:val="24"/>
                <w:highlight w:val="none"/>
                <w:lang w:val="zh-CN"/>
              </w:rPr>
            </w:pPr>
          </w:p>
        </w:tc>
      </w:tr>
      <w:tr w14:paraId="6115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0EFBC02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1F3B6DBC">
            <w:pPr>
              <w:jc w:val="center"/>
              <w:rPr>
                <w:rFonts w:asciiTheme="minorEastAsia" w:hAnsiTheme="minorEastAsia" w:eastAsiaTheme="minorEastAsia"/>
                <w:color w:val="auto"/>
                <w:sz w:val="24"/>
                <w:highlight w:val="none"/>
                <w:lang w:val="zh-CN"/>
              </w:rPr>
            </w:pPr>
          </w:p>
        </w:tc>
        <w:tc>
          <w:tcPr>
            <w:tcW w:w="1651" w:type="dxa"/>
            <w:vAlign w:val="center"/>
          </w:tcPr>
          <w:p w14:paraId="27EB635F">
            <w:pPr>
              <w:jc w:val="center"/>
              <w:rPr>
                <w:rFonts w:asciiTheme="minorEastAsia" w:hAnsiTheme="minorEastAsia" w:eastAsiaTheme="minorEastAsia"/>
                <w:color w:val="auto"/>
                <w:sz w:val="24"/>
                <w:highlight w:val="none"/>
                <w:lang w:val="zh-CN"/>
              </w:rPr>
            </w:pPr>
          </w:p>
        </w:tc>
        <w:tc>
          <w:tcPr>
            <w:tcW w:w="1647" w:type="dxa"/>
            <w:vAlign w:val="center"/>
          </w:tcPr>
          <w:p w14:paraId="455F12A6">
            <w:pPr>
              <w:jc w:val="center"/>
              <w:rPr>
                <w:rFonts w:asciiTheme="minorEastAsia" w:hAnsiTheme="minorEastAsia" w:eastAsiaTheme="minorEastAsia"/>
                <w:color w:val="auto"/>
                <w:sz w:val="24"/>
                <w:highlight w:val="none"/>
                <w:lang w:val="zh-CN"/>
              </w:rPr>
            </w:pPr>
          </w:p>
        </w:tc>
        <w:tc>
          <w:tcPr>
            <w:tcW w:w="1647" w:type="dxa"/>
            <w:vAlign w:val="center"/>
          </w:tcPr>
          <w:p w14:paraId="0DD5C7E5">
            <w:pPr>
              <w:jc w:val="center"/>
              <w:rPr>
                <w:rFonts w:asciiTheme="minorEastAsia" w:hAnsiTheme="minorEastAsia" w:eastAsiaTheme="minorEastAsia"/>
                <w:color w:val="auto"/>
                <w:sz w:val="24"/>
                <w:highlight w:val="none"/>
                <w:lang w:val="zh-CN"/>
              </w:rPr>
            </w:pPr>
          </w:p>
        </w:tc>
        <w:tc>
          <w:tcPr>
            <w:tcW w:w="1183" w:type="dxa"/>
            <w:vAlign w:val="center"/>
          </w:tcPr>
          <w:p w14:paraId="17528FED">
            <w:pPr>
              <w:jc w:val="center"/>
              <w:rPr>
                <w:rFonts w:asciiTheme="minorEastAsia" w:hAnsiTheme="minorEastAsia" w:eastAsiaTheme="minorEastAsia"/>
                <w:color w:val="auto"/>
                <w:sz w:val="24"/>
                <w:highlight w:val="none"/>
                <w:lang w:val="zh-CN"/>
              </w:rPr>
            </w:pPr>
          </w:p>
        </w:tc>
      </w:tr>
    </w:tbl>
    <w:p w14:paraId="6F843543">
      <w:pPr>
        <w:spacing w:line="360" w:lineRule="auto"/>
        <w:ind w:firstLine="437"/>
        <w:outlineLvl w:val="3"/>
        <w:rPr>
          <w:rFonts w:asciiTheme="minorEastAsia" w:hAnsiTheme="minorEastAsia" w:eastAsiaTheme="minorEastAsia"/>
          <w:b/>
          <w:bCs/>
          <w:color w:val="auto"/>
          <w:sz w:val="24"/>
          <w:highlight w:val="none"/>
          <w:lang w:val="zh-CN"/>
        </w:rPr>
      </w:pPr>
      <w:bookmarkStart w:id="263" w:name="_Toc23292"/>
      <w:bookmarkStart w:id="264" w:name="_Toc21631"/>
      <w:bookmarkStart w:id="265"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263"/>
      <w:bookmarkEnd w:id="264"/>
      <w:bookmarkEnd w:id="265"/>
    </w:p>
    <w:p w14:paraId="7AE955A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2DA8A4E1">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23"/>
        <w:gridCol w:w="3345"/>
      </w:tblGrid>
      <w:tr w14:paraId="0A56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666A495D">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60B933E7">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gridSpan w:val="2"/>
            <w:vAlign w:val="center"/>
          </w:tcPr>
          <w:p w14:paraId="2CB9516C">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14:paraId="745D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CAE6B01">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08DBDE5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6F2C6F9B">
            <w:pPr>
              <w:ind w:firstLine="200"/>
              <w:jc w:val="center"/>
              <w:rPr>
                <w:rFonts w:asciiTheme="minorEastAsia" w:hAnsiTheme="minorEastAsia" w:eastAsiaTheme="minorEastAsia"/>
                <w:color w:val="auto"/>
                <w:sz w:val="24"/>
                <w:highlight w:val="none"/>
              </w:rPr>
            </w:pPr>
          </w:p>
        </w:tc>
      </w:tr>
      <w:tr w14:paraId="2B61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16B90AC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039CBD1A">
            <w:pPr>
              <w:ind w:firstLine="200"/>
              <w:jc w:val="center"/>
              <w:rPr>
                <w:rFonts w:asciiTheme="minorEastAsia" w:hAnsiTheme="minorEastAsia" w:eastAsiaTheme="minorEastAsia"/>
                <w:color w:val="auto"/>
                <w:sz w:val="24"/>
                <w:highlight w:val="none"/>
              </w:rPr>
            </w:pPr>
          </w:p>
        </w:tc>
        <w:tc>
          <w:tcPr>
            <w:tcW w:w="3368" w:type="dxa"/>
            <w:gridSpan w:val="2"/>
            <w:vAlign w:val="center"/>
          </w:tcPr>
          <w:p w14:paraId="1ABE3B74">
            <w:pPr>
              <w:ind w:firstLine="200"/>
              <w:jc w:val="center"/>
              <w:rPr>
                <w:rFonts w:asciiTheme="minorEastAsia" w:hAnsiTheme="minorEastAsia" w:eastAsiaTheme="minorEastAsia"/>
                <w:color w:val="auto"/>
                <w:sz w:val="24"/>
                <w:highlight w:val="none"/>
              </w:rPr>
            </w:pPr>
          </w:p>
        </w:tc>
      </w:tr>
      <w:tr w14:paraId="517C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AC42713">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6152AEC0">
            <w:pPr>
              <w:ind w:firstLine="200"/>
              <w:jc w:val="center"/>
              <w:rPr>
                <w:rFonts w:asciiTheme="minorEastAsia" w:hAnsiTheme="minorEastAsia" w:eastAsiaTheme="minorEastAsia"/>
                <w:color w:val="auto"/>
                <w:sz w:val="24"/>
                <w:highlight w:val="none"/>
              </w:rPr>
            </w:pPr>
          </w:p>
        </w:tc>
        <w:tc>
          <w:tcPr>
            <w:tcW w:w="3368" w:type="dxa"/>
            <w:gridSpan w:val="2"/>
            <w:vAlign w:val="center"/>
          </w:tcPr>
          <w:p w14:paraId="30C9AC06">
            <w:pPr>
              <w:ind w:firstLine="200"/>
              <w:jc w:val="center"/>
              <w:rPr>
                <w:rFonts w:asciiTheme="minorEastAsia" w:hAnsiTheme="minorEastAsia" w:eastAsiaTheme="minorEastAsia"/>
                <w:color w:val="auto"/>
                <w:sz w:val="24"/>
                <w:highlight w:val="none"/>
              </w:rPr>
            </w:pPr>
          </w:p>
        </w:tc>
      </w:tr>
      <w:tr w14:paraId="77D0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6792F34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0D52ACCE">
            <w:pPr>
              <w:ind w:firstLine="200"/>
              <w:jc w:val="center"/>
              <w:rPr>
                <w:rFonts w:asciiTheme="minorEastAsia" w:hAnsiTheme="minorEastAsia" w:eastAsiaTheme="minorEastAsia"/>
                <w:color w:val="auto"/>
                <w:sz w:val="24"/>
                <w:highlight w:val="none"/>
              </w:rPr>
            </w:pPr>
          </w:p>
        </w:tc>
        <w:tc>
          <w:tcPr>
            <w:tcW w:w="3368" w:type="dxa"/>
            <w:gridSpan w:val="2"/>
            <w:vAlign w:val="center"/>
          </w:tcPr>
          <w:p w14:paraId="51DEC377">
            <w:pPr>
              <w:ind w:firstLine="200"/>
              <w:jc w:val="center"/>
              <w:rPr>
                <w:rFonts w:asciiTheme="minorEastAsia" w:hAnsiTheme="minorEastAsia" w:eastAsiaTheme="minorEastAsia"/>
                <w:color w:val="auto"/>
                <w:sz w:val="24"/>
                <w:highlight w:val="none"/>
              </w:rPr>
            </w:pPr>
          </w:p>
        </w:tc>
      </w:tr>
      <w:tr w14:paraId="23F7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25" w:type="dxa"/>
            <w:gridSpan w:val="3"/>
            <w:vAlign w:val="center"/>
          </w:tcPr>
          <w:p w14:paraId="5239A0A9">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45" w:type="dxa"/>
            <w:vAlign w:val="center"/>
          </w:tcPr>
          <w:p w14:paraId="6501403C">
            <w:pPr>
              <w:ind w:firstLine="200"/>
              <w:jc w:val="center"/>
              <w:rPr>
                <w:rFonts w:asciiTheme="minorEastAsia" w:hAnsiTheme="minorEastAsia" w:eastAsiaTheme="minorEastAsia"/>
                <w:color w:val="auto"/>
                <w:sz w:val="24"/>
                <w:highlight w:val="none"/>
              </w:rPr>
            </w:pPr>
          </w:p>
        </w:tc>
      </w:tr>
    </w:tbl>
    <w:p w14:paraId="01D2E4E7">
      <w:pPr>
        <w:spacing w:line="360" w:lineRule="auto"/>
        <w:ind w:firstLine="437"/>
        <w:outlineLvl w:val="3"/>
        <w:rPr>
          <w:rFonts w:asciiTheme="minorEastAsia" w:hAnsiTheme="minorEastAsia" w:eastAsiaTheme="minorEastAsia"/>
          <w:b/>
          <w:bCs/>
          <w:color w:val="auto"/>
          <w:sz w:val="24"/>
          <w:highlight w:val="none"/>
          <w:lang w:val="zh-CN"/>
        </w:rPr>
      </w:pPr>
      <w:bookmarkStart w:id="266" w:name="_Toc22618"/>
      <w:bookmarkStart w:id="267" w:name="_Toc1814"/>
      <w:bookmarkStart w:id="268"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266"/>
      <w:bookmarkEnd w:id="267"/>
      <w:bookmarkEnd w:id="268"/>
    </w:p>
    <w:p w14:paraId="5E5295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69E72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AE0D427">
      <w:pPr>
        <w:spacing w:line="360" w:lineRule="auto"/>
        <w:ind w:firstLine="437"/>
        <w:outlineLvl w:val="3"/>
        <w:rPr>
          <w:rFonts w:asciiTheme="minorEastAsia" w:hAnsiTheme="minorEastAsia" w:eastAsiaTheme="minorEastAsia"/>
          <w:b/>
          <w:bCs/>
          <w:color w:val="auto"/>
          <w:sz w:val="24"/>
          <w:highlight w:val="none"/>
          <w:lang w:val="zh-CN"/>
        </w:rPr>
      </w:pPr>
      <w:bookmarkStart w:id="269" w:name="_Toc2846"/>
      <w:bookmarkStart w:id="270" w:name="_Toc19304"/>
      <w:bookmarkStart w:id="271"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269"/>
      <w:bookmarkEnd w:id="270"/>
      <w:bookmarkEnd w:id="271"/>
    </w:p>
    <w:p w14:paraId="638794ED">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867F0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5846D4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4F44166">
      <w:pPr>
        <w:spacing w:line="360" w:lineRule="auto"/>
        <w:ind w:firstLine="437"/>
        <w:outlineLvl w:val="3"/>
        <w:rPr>
          <w:rFonts w:asciiTheme="minorEastAsia" w:hAnsiTheme="minorEastAsia" w:eastAsiaTheme="minorEastAsia"/>
          <w:b/>
          <w:bCs/>
          <w:color w:val="auto"/>
          <w:sz w:val="24"/>
          <w:highlight w:val="none"/>
          <w:lang w:val="zh-CN"/>
        </w:rPr>
      </w:pPr>
      <w:bookmarkStart w:id="272" w:name="_Toc21423"/>
      <w:bookmarkStart w:id="273" w:name="_Toc27250"/>
      <w:bookmarkStart w:id="274" w:name="_Toc19554"/>
      <w:r>
        <w:rPr>
          <w:rFonts w:hint="eastAsia" w:asciiTheme="minorEastAsia" w:hAnsiTheme="minorEastAsia" w:eastAsiaTheme="minorEastAsia"/>
          <w:b/>
          <w:bCs/>
          <w:color w:val="auto"/>
          <w:sz w:val="24"/>
          <w:highlight w:val="none"/>
          <w:lang w:val="zh-CN"/>
        </w:rPr>
        <w:t>1.6 违约责任</w:t>
      </w:r>
      <w:bookmarkEnd w:id="272"/>
      <w:bookmarkEnd w:id="273"/>
      <w:bookmarkEnd w:id="274"/>
    </w:p>
    <w:p w14:paraId="4F4F7C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13706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276E54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0EB8C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8695D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401FF0F">
      <w:pPr>
        <w:spacing w:line="360" w:lineRule="auto"/>
        <w:ind w:firstLine="437"/>
        <w:outlineLvl w:val="3"/>
        <w:rPr>
          <w:rFonts w:asciiTheme="minorEastAsia" w:hAnsiTheme="minorEastAsia" w:eastAsiaTheme="minorEastAsia"/>
          <w:b/>
          <w:bCs/>
          <w:color w:val="auto"/>
          <w:sz w:val="24"/>
          <w:highlight w:val="none"/>
          <w:lang w:val="zh-CN"/>
        </w:rPr>
      </w:pPr>
      <w:bookmarkStart w:id="275" w:name="_Toc15583"/>
      <w:bookmarkStart w:id="276" w:name="_Toc16021"/>
      <w:bookmarkStart w:id="277"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275"/>
      <w:bookmarkEnd w:id="276"/>
      <w:bookmarkEnd w:id="277"/>
    </w:p>
    <w:p w14:paraId="39DA89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申请仲裁。②向________人民法院起诉。</w:t>
      </w:r>
    </w:p>
    <w:p w14:paraId="1F70E1C0">
      <w:pPr>
        <w:spacing w:line="360" w:lineRule="auto"/>
        <w:ind w:firstLine="437"/>
        <w:outlineLvl w:val="3"/>
        <w:rPr>
          <w:rFonts w:asciiTheme="minorEastAsia" w:hAnsiTheme="minorEastAsia" w:eastAsiaTheme="minorEastAsia"/>
          <w:b/>
          <w:bCs/>
          <w:color w:val="auto"/>
          <w:sz w:val="24"/>
          <w:highlight w:val="none"/>
          <w:lang w:val="zh-CN"/>
        </w:rPr>
      </w:pPr>
      <w:bookmarkStart w:id="278" w:name="_Toc15322"/>
      <w:bookmarkStart w:id="279" w:name="_Toc7245"/>
      <w:bookmarkStart w:id="280" w:name="_Toc11173"/>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278"/>
      <w:bookmarkEnd w:id="279"/>
      <w:bookmarkEnd w:id="280"/>
    </w:p>
    <w:p w14:paraId="0630128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1D1DAAC3">
      <w:pPr>
        <w:autoSpaceDE w:val="0"/>
        <w:autoSpaceDN w:val="0"/>
        <w:adjustRightInd w:val="0"/>
        <w:spacing w:line="560" w:lineRule="exact"/>
        <w:rPr>
          <w:rFonts w:asciiTheme="minorEastAsia" w:hAnsiTheme="minorEastAsia" w:eastAsiaTheme="minorEastAsia"/>
          <w:color w:val="auto"/>
          <w:sz w:val="24"/>
          <w:highlight w:val="none"/>
          <w:lang w:val="zh-CN"/>
        </w:rPr>
      </w:pPr>
    </w:p>
    <w:p w14:paraId="33F87B5E">
      <w:pPr>
        <w:autoSpaceDE w:val="0"/>
        <w:autoSpaceDN w:val="0"/>
        <w:adjustRightInd w:val="0"/>
        <w:spacing w:line="560" w:lineRule="exact"/>
        <w:rPr>
          <w:rFonts w:asciiTheme="minorEastAsia" w:hAnsiTheme="minorEastAsia" w:eastAsiaTheme="minorEastAsia"/>
          <w:color w:val="auto"/>
          <w:sz w:val="24"/>
          <w:highlight w:val="none"/>
          <w:lang w:val="zh-CN"/>
        </w:rPr>
      </w:pPr>
    </w:p>
    <w:p w14:paraId="19384F4E">
      <w:pPr>
        <w:autoSpaceDE w:val="0"/>
        <w:autoSpaceDN w:val="0"/>
        <w:adjustRightInd w:val="0"/>
        <w:spacing w:line="560" w:lineRule="exact"/>
        <w:rPr>
          <w:rFonts w:asciiTheme="minorEastAsia" w:hAnsiTheme="minorEastAsia" w:eastAsiaTheme="minorEastAsia"/>
          <w:color w:val="auto"/>
          <w:sz w:val="24"/>
          <w:highlight w:val="none"/>
          <w:lang w:val="zh-CN"/>
        </w:rPr>
      </w:pPr>
    </w:p>
    <w:p w14:paraId="0A6F5C43">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2A1019D6">
      <w:pPr>
        <w:widowControl/>
        <w:spacing w:line="560" w:lineRule="exact"/>
        <w:jc w:val="left"/>
        <w:rPr>
          <w:rFonts w:hint="eastAsia" w:asciiTheme="minorEastAsia" w:hAnsiTheme="minorEastAsia" w:eastAsiaTheme="minorEastAsia"/>
          <w:bCs/>
          <w:color w:val="auto"/>
          <w:sz w:val="24"/>
          <w:highlight w:val="none"/>
        </w:rPr>
      </w:pPr>
    </w:p>
    <w:p w14:paraId="43809E0A">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15845A32">
      <w:pPr>
        <w:widowControl/>
        <w:spacing w:line="560" w:lineRule="exact"/>
        <w:jc w:val="left"/>
        <w:rPr>
          <w:rFonts w:asciiTheme="minorEastAsia" w:hAnsiTheme="minorEastAsia" w:eastAsiaTheme="minorEastAsia"/>
          <w:bCs/>
          <w:color w:val="auto"/>
          <w:sz w:val="24"/>
          <w:highlight w:val="none"/>
        </w:rPr>
      </w:pPr>
    </w:p>
    <w:p w14:paraId="273188E7">
      <w:pPr>
        <w:widowControl/>
        <w:spacing w:line="560" w:lineRule="exact"/>
        <w:jc w:val="left"/>
        <w:rPr>
          <w:rFonts w:asciiTheme="minorEastAsia" w:hAnsiTheme="minorEastAsia" w:eastAsiaTheme="minorEastAsia"/>
          <w:bCs/>
          <w:color w:val="auto"/>
          <w:sz w:val="24"/>
          <w:highlight w:val="none"/>
        </w:rPr>
      </w:pPr>
    </w:p>
    <w:p w14:paraId="75A9CED6">
      <w:pPr>
        <w:pStyle w:val="74"/>
        <w:rPr>
          <w:color w:val="auto"/>
          <w:highlight w:val="none"/>
        </w:rPr>
      </w:pPr>
    </w:p>
    <w:p w14:paraId="7A66C811">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34943790">
      <w:pPr>
        <w:spacing w:line="360" w:lineRule="auto"/>
        <w:jc w:val="center"/>
        <w:outlineLvl w:val="2"/>
        <w:rPr>
          <w:rFonts w:asciiTheme="minorEastAsia" w:hAnsiTheme="minorEastAsia" w:eastAsiaTheme="minorEastAsia"/>
          <w:b/>
          <w:color w:val="auto"/>
          <w:sz w:val="24"/>
          <w:highlight w:val="none"/>
        </w:rPr>
      </w:pPr>
      <w:bookmarkStart w:id="281" w:name="_Toc23625"/>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281"/>
    </w:p>
    <w:p w14:paraId="7F1B988F">
      <w:pPr>
        <w:spacing w:line="360" w:lineRule="auto"/>
        <w:ind w:firstLine="437"/>
        <w:outlineLvl w:val="3"/>
        <w:rPr>
          <w:rFonts w:asciiTheme="minorEastAsia" w:hAnsiTheme="minorEastAsia" w:eastAsiaTheme="minorEastAsia"/>
          <w:b/>
          <w:bCs/>
          <w:color w:val="auto"/>
          <w:sz w:val="24"/>
          <w:highlight w:val="none"/>
          <w:lang w:val="zh-CN"/>
        </w:rPr>
      </w:pPr>
      <w:bookmarkStart w:id="282" w:name="_Ref467379109"/>
      <w:bookmarkStart w:id="283" w:name="_Toc279701240"/>
      <w:bookmarkStart w:id="284" w:name="_Toc28763"/>
      <w:bookmarkStart w:id="285" w:name="_Ref467378463"/>
      <w:bookmarkStart w:id="286" w:name="_Toc259093669"/>
      <w:bookmarkStart w:id="287" w:name="_Toc487900349"/>
      <w:bookmarkStart w:id="288" w:name="_Ref467379094"/>
      <w:bookmarkStart w:id="289" w:name="_Ref467378499"/>
      <w:bookmarkStart w:id="290" w:name="_Ref467379195"/>
      <w:bookmarkStart w:id="291" w:name="_Ref467379214"/>
      <w:bookmarkStart w:id="292" w:name="_Toc16917"/>
      <w:bookmarkStart w:id="293" w:name="_Ref467379205"/>
      <w:bookmarkStart w:id="294" w:name="_Ref467379101"/>
      <w:bookmarkStart w:id="295" w:name="_Ref467379225"/>
      <w:bookmarkStart w:id="296" w:name="_Toc19614"/>
      <w:bookmarkStart w:id="297" w:name="_Ref467378404"/>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4EC60D5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5CBCE9E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0DB2CF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750D498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104F26A8">
      <w:pPr>
        <w:spacing w:line="360" w:lineRule="auto"/>
        <w:ind w:firstLine="435"/>
        <w:rPr>
          <w:rFonts w:asciiTheme="minorEastAsia" w:hAnsiTheme="minorEastAsia" w:eastAsiaTheme="minorEastAsia"/>
          <w:color w:val="auto"/>
          <w:sz w:val="24"/>
          <w:highlight w:val="none"/>
        </w:rPr>
      </w:pPr>
      <w:bookmarkStart w:id="298"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298"/>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031B3728">
      <w:pPr>
        <w:spacing w:line="360" w:lineRule="auto"/>
        <w:ind w:firstLine="435"/>
        <w:rPr>
          <w:rFonts w:asciiTheme="minorEastAsia" w:hAnsiTheme="minorEastAsia" w:eastAsiaTheme="minorEastAsia"/>
          <w:color w:val="auto"/>
          <w:sz w:val="24"/>
          <w:highlight w:val="none"/>
        </w:rPr>
      </w:pPr>
      <w:bookmarkStart w:id="299"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299"/>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1E3D2E">
      <w:pPr>
        <w:spacing w:line="360" w:lineRule="auto"/>
        <w:ind w:firstLine="435"/>
        <w:rPr>
          <w:rFonts w:asciiTheme="minorEastAsia" w:hAnsiTheme="minorEastAsia" w:eastAsiaTheme="minorEastAsia"/>
          <w:color w:val="auto"/>
          <w:sz w:val="24"/>
          <w:highlight w:val="none"/>
        </w:rPr>
      </w:pPr>
      <w:bookmarkStart w:id="300"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300"/>
    </w:p>
    <w:p w14:paraId="68E2F821">
      <w:pPr>
        <w:spacing w:line="360" w:lineRule="auto"/>
        <w:ind w:firstLine="437"/>
        <w:outlineLvl w:val="3"/>
        <w:rPr>
          <w:rFonts w:asciiTheme="minorEastAsia" w:hAnsiTheme="minorEastAsia" w:eastAsiaTheme="minorEastAsia"/>
          <w:b/>
          <w:bCs/>
          <w:color w:val="auto"/>
          <w:sz w:val="24"/>
          <w:highlight w:val="none"/>
          <w:lang w:val="zh-CN"/>
        </w:rPr>
      </w:pPr>
      <w:bookmarkStart w:id="301" w:name="_Toc27635"/>
      <w:bookmarkStart w:id="302" w:name="_Toc32504"/>
      <w:bookmarkStart w:id="303" w:name="_Toc13336"/>
      <w:bookmarkStart w:id="304" w:name="_Toc259093670"/>
      <w:bookmarkStart w:id="305" w:name="_Toc487900350"/>
      <w:bookmarkStart w:id="306" w:name="_Toc27970124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301"/>
      <w:bookmarkEnd w:id="302"/>
      <w:bookmarkEnd w:id="303"/>
      <w:bookmarkEnd w:id="304"/>
      <w:bookmarkEnd w:id="305"/>
      <w:bookmarkEnd w:id="306"/>
    </w:p>
    <w:p w14:paraId="2FC9BF6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4439EB88">
      <w:pPr>
        <w:spacing w:line="360" w:lineRule="auto"/>
        <w:ind w:firstLine="437"/>
        <w:outlineLvl w:val="3"/>
        <w:rPr>
          <w:rFonts w:asciiTheme="minorEastAsia" w:hAnsiTheme="minorEastAsia" w:eastAsiaTheme="minorEastAsia"/>
          <w:b/>
          <w:bCs/>
          <w:color w:val="auto"/>
          <w:sz w:val="24"/>
          <w:highlight w:val="none"/>
          <w:lang w:val="zh-CN"/>
        </w:rPr>
      </w:pPr>
      <w:bookmarkStart w:id="307" w:name="_Toc487900351"/>
      <w:bookmarkStart w:id="308" w:name="_Toc27853"/>
      <w:bookmarkStart w:id="309" w:name="_Toc279701242"/>
      <w:bookmarkStart w:id="310" w:name="_Toc31634"/>
      <w:bookmarkStart w:id="311" w:name="_Toc9829"/>
      <w:bookmarkStart w:id="312" w:name="_Toc25909367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307"/>
      <w:bookmarkEnd w:id="308"/>
      <w:bookmarkEnd w:id="309"/>
      <w:bookmarkEnd w:id="310"/>
      <w:bookmarkEnd w:id="311"/>
      <w:bookmarkEnd w:id="312"/>
    </w:p>
    <w:p w14:paraId="7FF17F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725242D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646D0AA7">
      <w:pPr>
        <w:spacing w:line="360" w:lineRule="auto"/>
        <w:ind w:firstLine="437"/>
        <w:outlineLvl w:val="3"/>
        <w:rPr>
          <w:rFonts w:asciiTheme="minorEastAsia" w:hAnsiTheme="minorEastAsia" w:eastAsiaTheme="minorEastAsia"/>
          <w:b/>
          <w:color w:val="auto"/>
          <w:sz w:val="24"/>
          <w:highlight w:val="none"/>
        </w:rPr>
      </w:pPr>
      <w:bookmarkStart w:id="313" w:name="_Toc4194"/>
      <w:bookmarkStart w:id="314" w:name="_Toc29149"/>
      <w:bookmarkStart w:id="315" w:name="_Toc11932"/>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313"/>
      <w:bookmarkEnd w:id="314"/>
      <w:bookmarkEnd w:id="315"/>
    </w:p>
    <w:p w14:paraId="179BB5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75F39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5FD79AFB">
      <w:pPr>
        <w:spacing w:line="360" w:lineRule="auto"/>
        <w:ind w:firstLine="437"/>
        <w:outlineLvl w:val="3"/>
        <w:rPr>
          <w:rFonts w:asciiTheme="minorEastAsia" w:hAnsiTheme="minorEastAsia" w:eastAsiaTheme="minorEastAsia"/>
          <w:b/>
          <w:bCs/>
          <w:color w:val="auto"/>
          <w:sz w:val="24"/>
          <w:highlight w:val="none"/>
          <w:lang w:val="zh-CN"/>
        </w:rPr>
      </w:pPr>
      <w:bookmarkStart w:id="316" w:name="_Ref467379542"/>
      <w:bookmarkStart w:id="317" w:name="_Toc279701245"/>
      <w:bookmarkStart w:id="318" w:name="_Ref467379536"/>
      <w:bookmarkStart w:id="319" w:name="_Toc259093674"/>
      <w:bookmarkStart w:id="320" w:name="_Ref467378541"/>
      <w:bookmarkStart w:id="321" w:name="_Ref467378591"/>
      <w:bookmarkStart w:id="322" w:name="_Ref467379527"/>
      <w:bookmarkStart w:id="323" w:name="_Toc487900354"/>
      <w:bookmarkStart w:id="324" w:name="_Toc30272"/>
      <w:bookmarkStart w:id="325" w:name="_Toc19074"/>
      <w:bookmarkStart w:id="326" w:name="_Toc26182"/>
      <w:r>
        <w:rPr>
          <w:rFonts w:hint="eastAsia" w:asciiTheme="minorEastAsia" w:hAnsiTheme="minorEastAsia" w:eastAsiaTheme="minorEastAsia"/>
          <w:b/>
          <w:bCs/>
          <w:color w:val="auto"/>
          <w:sz w:val="24"/>
          <w:highlight w:val="none"/>
          <w:lang w:val="zh-CN"/>
        </w:rPr>
        <w:t>2.</w:t>
      </w:r>
      <w:bookmarkEnd w:id="316"/>
      <w:bookmarkEnd w:id="317"/>
      <w:bookmarkEnd w:id="318"/>
      <w:bookmarkEnd w:id="319"/>
      <w:bookmarkEnd w:id="320"/>
      <w:bookmarkEnd w:id="321"/>
      <w:bookmarkEnd w:id="322"/>
      <w:bookmarkEnd w:id="323"/>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324"/>
      <w:bookmarkEnd w:id="325"/>
      <w:bookmarkEnd w:id="326"/>
    </w:p>
    <w:p w14:paraId="07E7A050">
      <w:pPr>
        <w:spacing w:line="360" w:lineRule="auto"/>
        <w:ind w:firstLine="435"/>
        <w:rPr>
          <w:rFonts w:asciiTheme="minorEastAsia" w:hAnsiTheme="minorEastAsia" w:eastAsiaTheme="minorEastAsia"/>
          <w:color w:val="auto"/>
          <w:sz w:val="24"/>
          <w:highlight w:val="none"/>
        </w:rPr>
      </w:pPr>
      <w:bookmarkStart w:id="327"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327"/>
      <w:bookmarkStart w:id="328" w:name="_Toc186431854"/>
      <w:bookmarkStart w:id="329" w:name="_Ref467379807"/>
      <w:bookmarkStart w:id="330" w:name="_Ref467379793"/>
      <w:bookmarkStart w:id="331" w:name="_Toc259093676"/>
      <w:bookmarkStart w:id="332" w:name="_Toc279701247"/>
      <w:bookmarkStart w:id="333" w:name="_Toc48790035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13EF56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328"/>
      <w:bookmarkStart w:id="334" w:name="_Toc186431855"/>
      <w:r>
        <w:rPr>
          <w:rFonts w:hint="eastAsia" w:asciiTheme="minorEastAsia" w:hAnsiTheme="minorEastAsia" w:eastAsiaTheme="minorEastAsia"/>
          <w:color w:val="auto"/>
          <w:sz w:val="24"/>
          <w:highlight w:val="none"/>
        </w:rPr>
        <w:t>。</w:t>
      </w:r>
    </w:p>
    <w:bookmarkEnd w:id="334"/>
    <w:p w14:paraId="0E7BA3D9">
      <w:pPr>
        <w:spacing w:line="360" w:lineRule="auto"/>
        <w:ind w:firstLine="437"/>
        <w:outlineLvl w:val="3"/>
        <w:rPr>
          <w:rFonts w:asciiTheme="minorEastAsia" w:hAnsiTheme="minorEastAsia" w:eastAsiaTheme="minorEastAsia"/>
          <w:b/>
          <w:bCs/>
          <w:color w:val="auto"/>
          <w:sz w:val="24"/>
          <w:highlight w:val="none"/>
          <w:lang w:val="zh-CN"/>
        </w:rPr>
      </w:pPr>
      <w:bookmarkStart w:id="335" w:name="_Toc19219"/>
      <w:bookmarkStart w:id="336" w:name="_Toc28451"/>
      <w:bookmarkStart w:id="337" w:name="_Toc7836"/>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329"/>
      <w:bookmarkEnd w:id="330"/>
      <w:bookmarkEnd w:id="331"/>
      <w:bookmarkEnd w:id="332"/>
      <w:bookmarkEnd w:id="333"/>
      <w:bookmarkEnd w:id="335"/>
      <w:bookmarkEnd w:id="336"/>
      <w:bookmarkEnd w:id="337"/>
    </w:p>
    <w:p w14:paraId="47D38C0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904E5C5">
      <w:pPr>
        <w:spacing w:line="360" w:lineRule="auto"/>
        <w:ind w:firstLine="437"/>
        <w:outlineLvl w:val="3"/>
        <w:rPr>
          <w:rFonts w:asciiTheme="minorEastAsia" w:hAnsiTheme="minorEastAsia" w:eastAsiaTheme="minorEastAsia"/>
          <w:b/>
          <w:bCs/>
          <w:color w:val="auto"/>
          <w:sz w:val="24"/>
          <w:highlight w:val="none"/>
          <w:lang w:val="zh-CN"/>
        </w:rPr>
      </w:pPr>
      <w:bookmarkStart w:id="338" w:name="_Toc259093677"/>
      <w:bookmarkStart w:id="339" w:name="_Ref467379852"/>
      <w:bookmarkStart w:id="340" w:name="_Toc487900358"/>
      <w:bookmarkStart w:id="341" w:name="_Toc279701248"/>
      <w:bookmarkStart w:id="342" w:name="_Ref467379923"/>
      <w:bookmarkStart w:id="343" w:name="_Ref467379863"/>
      <w:bookmarkStart w:id="344" w:name="_Toc774"/>
      <w:bookmarkStart w:id="345" w:name="_Toc3225"/>
      <w:bookmarkStart w:id="346" w:name="_Toc16110"/>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338"/>
      <w:bookmarkEnd w:id="339"/>
      <w:bookmarkEnd w:id="340"/>
      <w:bookmarkEnd w:id="341"/>
      <w:bookmarkEnd w:id="342"/>
      <w:bookmarkEnd w:id="343"/>
      <w:r>
        <w:rPr>
          <w:rFonts w:asciiTheme="minorEastAsia" w:hAnsiTheme="minorEastAsia" w:eastAsiaTheme="minorEastAsia"/>
          <w:b/>
          <w:bCs/>
          <w:color w:val="auto"/>
          <w:sz w:val="24"/>
          <w:highlight w:val="none"/>
          <w:lang w:val="zh-CN"/>
        </w:rPr>
        <w:t>和保密义务</w:t>
      </w:r>
      <w:bookmarkEnd w:id="344"/>
      <w:bookmarkEnd w:id="345"/>
      <w:bookmarkEnd w:id="346"/>
    </w:p>
    <w:p w14:paraId="000227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16F2393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07A23C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0B166CDA">
      <w:pPr>
        <w:spacing w:line="360" w:lineRule="auto"/>
        <w:ind w:firstLine="437"/>
        <w:outlineLvl w:val="3"/>
        <w:rPr>
          <w:rFonts w:asciiTheme="minorEastAsia" w:hAnsiTheme="minorEastAsia" w:eastAsiaTheme="minorEastAsia"/>
          <w:b/>
          <w:bCs/>
          <w:color w:val="auto"/>
          <w:sz w:val="24"/>
          <w:highlight w:val="none"/>
          <w:lang w:val="zh-CN"/>
        </w:rPr>
      </w:pPr>
      <w:bookmarkStart w:id="347" w:name="_Toc7860"/>
      <w:r>
        <w:rPr>
          <w:rFonts w:asciiTheme="minorEastAsia" w:hAnsiTheme="minorEastAsia" w:eastAsiaTheme="minorEastAsia"/>
          <w:b/>
          <w:bCs/>
          <w:color w:val="auto"/>
          <w:sz w:val="24"/>
          <w:highlight w:val="none"/>
          <w:lang w:val="zh-CN"/>
        </w:rPr>
        <w:t>2.8 质量保证</w:t>
      </w:r>
      <w:bookmarkEnd w:id="347"/>
    </w:p>
    <w:p w14:paraId="60E3413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0395DDE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153FD897">
      <w:pPr>
        <w:spacing w:line="360" w:lineRule="auto"/>
        <w:ind w:firstLine="437"/>
        <w:outlineLvl w:val="3"/>
        <w:rPr>
          <w:rFonts w:asciiTheme="minorEastAsia" w:hAnsiTheme="minorEastAsia" w:eastAsiaTheme="minorEastAsia"/>
          <w:b/>
          <w:bCs/>
          <w:color w:val="auto"/>
          <w:sz w:val="24"/>
          <w:highlight w:val="none"/>
          <w:lang w:val="zh-CN"/>
        </w:rPr>
      </w:pPr>
      <w:bookmarkStart w:id="348" w:name="_Toc17244"/>
      <w:bookmarkStart w:id="349" w:name="_Toc259093681"/>
      <w:bookmarkStart w:id="350" w:name="_Toc487900362"/>
      <w:bookmarkStart w:id="351" w:name="_Toc279701252"/>
      <w:r>
        <w:rPr>
          <w:rFonts w:asciiTheme="minorEastAsia" w:hAnsiTheme="minorEastAsia" w:eastAsiaTheme="minorEastAsia"/>
          <w:b/>
          <w:bCs/>
          <w:color w:val="auto"/>
          <w:sz w:val="24"/>
          <w:highlight w:val="none"/>
          <w:lang w:val="zh-CN"/>
        </w:rPr>
        <w:t>2.9 货物的风险负担</w:t>
      </w:r>
      <w:bookmarkEnd w:id="348"/>
    </w:p>
    <w:p w14:paraId="2ADBF736">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476BCAD2">
      <w:pPr>
        <w:spacing w:line="360" w:lineRule="auto"/>
        <w:ind w:firstLine="437"/>
        <w:outlineLvl w:val="3"/>
        <w:rPr>
          <w:rFonts w:asciiTheme="minorEastAsia" w:hAnsiTheme="minorEastAsia" w:eastAsiaTheme="minorEastAsia"/>
          <w:b/>
          <w:bCs/>
          <w:color w:val="auto"/>
          <w:sz w:val="24"/>
          <w:highlight w:val="none"/>
          <w:lang w:val="zh-CN"/>
        </w:rPr>
      </w:pPr>
      <w:bookmarkStart w:id="352" w:name="_Toc14055"/>
      <w:r>
        <w:rPr>
          <w:rFonts w:asciiTheme="minorEastAsia" w:hAnsiTheme="minorEastAsia" w:eastAsiaTheme="minorEastAsia"/>
          <w:b/>
          <w:bCs/>
          <w:color w:val="auto"/>
          <w:sz w:val="24"/>
          <w:highlight w:val="none"/>
          <w:lang w:val="zh-CN"/>
        </w:rPr>
        <w:t>2.10 延迟交货</w:t>
      </w:r>
      <w:bookmarkEnd w:id="349"/>
      <w:bookmarkEnd w:id="350"/>
      <w:bookmarkEnd w:id="351"/>
      <w:bookmarkEnd w:id="352"/>
    </w:p>
    <w:p w14:paraId="5944851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4E51FC09">
      <w:pPr>
        <w:spacing w:line="360" w:lineRule="auto"/>
        <w:ind w:firstLine="437"/>
        <w:outlineLvl w:val="3"/>
        <w:rPr>
          <w:rFonts w:asciiTheme="minorEastAsia" w:hAnsiTheme="minorEastAsia" w:eastAsiaTheme="minorEastAsia"/>
          <w:b/>
          <w:bCs/>
          <w:color w:val="auto"/>
          <w:sz w:val="24"/>
          <w:highlight w:val="none"/>
          <w:lang w:val="zh-CN"/>
        </w:rPr>
      </w:pPr>
      <w:bookmarkStart w:id="353" w:name="_Toc7502"/>
      <w:bookmarkStart w:id="354" w:name="_Ref467378121"/>
      <w:bookmarkStart w:id="355" w:name="_Toc259093683"/>
      <w:bookmarkStart w:id="356" w:name="_Toc279701254"/>
      <w:bookmarkStart w:id="357" w:name="_Toc487900364"/>
      <w:r>
        <w:rPr>
          <w:rFonts w:asciiTheme="minorEastAsia" w:hAnsiTheme="minorEastAsia" w:eastAsiaTheme="minorEastAsia"/>
          <w:b/>
          <w:bCs/>
          <w:color w:val="auto"/>
          <w:sz w:val="24"/>
          <w:highlight w:val="none"/>
          <w:lang w:val="zh-CN"/>
        </w:rPr>
        <w:t>2.11 合同变更</w:t>
      </w:r>
      <w:bookmarkEnd w:id="353"/>
    </w:p>
    <w:p w14:paraId="456EA4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6768F1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358" w:name="_Toc259093688"/>
      <w:bookmarkStart w:id="359" w:name="_Toc279701259"/>
      <w:bookmarkStart w:id="360" w:name="_Toc487900369"/>
    </w:p>
    <w:p w14:paraId="4E4B4E1F">
      <w:pPr>
        <w:spacing w:line="360" w:lineRule="auto"/>
        <w:ind w:firstLine="437"/>
        <w:outlineLvl w:val="3"/>
        <w:rPr>
          <w:rFonts w:asciiTheme="minorEastAsia" w:hAnsiTheme="minorEastAsia" w:eastAsiaTheme="minorEastAsia"/>
          <w:b/>
          <w:bCs/>
          <w:color w:val="auto"/>
          <w:sz w:val="24"/>
          <w:highlight w:val="none"/>
          <w:lang w:val="zh-CN"/>
        </w:rPr>
      </w:pPr>
      <w:bookmarkStart w:id="361" w:name="_Toc22955"/>
      <w:bookmarkStart w:id="362" w:name="_Toc10366"/>
      <w:bookmarkStart w:id="363" w:name="_Toc15237"/>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358"/>
      <w:bookmarkEnd w:id="359"/>
      <w:bookmarkEnd w:id="360"/>
      <w:r>
        <w:rPr>
          <w:rFonts w:asciiTheme="minorEastAsia" w:hAnsiTheme="minorEastAsia" w:eastAsiaTheme="minorEastAsia"/>
          <w:b/>
          <w:bCs/>
          <w:color w:val="auto"/>
          <w:sz w:val="24"/>
          <w:highlight w:val="none"/>
          <w:lang w:val="zh-CN"/>
        </w:rPr>
        <w:t>和分包</w:t>
      </w:r>
      <w:bookmarkEnd w:id="361"/>
      <w:bookmarkEnd w:id="362"/>
      <w:bookmarkEnd w:id="363"/>
    </w:p>
    <w:p w14:paraId="3A492C4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75672EED">
      <w:pPr>
        <w:spacing w:line="360" w:lineRule="auto"/>
        <w:ind w:firstLine="437"/>
        <w:outlineLvl w:val="3"/>
        <w:rPr>
          <w:rFonts w:asciiTheme="minorEastAsia" w:hAnsiTheme="minorEastAsia" w:eastAsiaTheme="minorEastAsia"/>
          <w:b/>
          <w:bCs/>
          <w:color w:val="auto"/>
          <w:sz w:val="24"/>
          <w:highlight w:val="none"/>
          <w:lang w:val="zh-CN"/>
        </w:rPr>
      </w:pPr>
      <w:bookmarkStart w:id="364" w:name="_Toc13566"/>
      <w:bookmarkStart w:id="365" w:name="_Toc14066"/>
      <w:bookmarkStart w:id="366" w:name="_Toc16508"/>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364"/>
      <w:bookmarkEnd w:id="365"/>
      <w:bookmarkEnd w:id="366"/>
    </w:p>
    <w:p w14:paraId="5FC89F9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630C5C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6BECFE1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4DD492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44595A39">
      <w:pPr>
        <w:spacing w:line="360" w:lineRule="auto"/>
        <w:ind w:firstLine="437"/>
        <w:outlineLvl w:val="3"/>
        <w:rPr>
          <w:rFonts w:asciiTheme="minorEastAsia" w:hAnsiTheme="minorEastAsia" w:eastAsiaTheme="minorEastAsia"/>
          <w:b/>
          <w:bCs/>
          <w:color w:val="auto"/>
          <w:sz w:val="24"/>
          <w:highlight w:val="none"/>
          <w:lang w:val="zh-CN"/>
        </w:rPr>
      </w:pPr>
      <w:bookmarkStart w:id="367" w:name="_Toc30676"/>
      <w:bookmarkStart w:id="368" w:name="_Toc487900365"/>
      <w:bookmarkStart w:id="369" w:name="_Toc279701255"/>
      <w:bookmarkStart w:id="370" w:name="_Toc259093684"/>
      <w:bookmarkStart w:id="371" w:name="_Toc6969"/>
      <w:bookmarkStart w:id="372" w:name="_Toc68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367"/>
      <w:bookmarkEnd w:id="368"/>
      <w:bookmarkEnd w:id="369"/>
      <w:bookmarkEnd w:id="370"/>
      <w:bookmarkEnd w:id="371"/>
      <w:bookmarkEnd w:id="372"/>
    </w:p>
    <w:p w14:paraId="122DC44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71C6CB0E">
      <w:pPr>
        <w:spacing w:line="360" w:lineRule="auto"/>
        <w:ind w:firstLine="437"/>
        <w:outlineLvl w:val="3"/>
        <w:rPr>
          <w:rFonts w:asciiTheme="minorEastAsia" w:hAnsiTheme="minorEastAsia" w:eastAsiaTheme="minorEastAsia"/>
          <w:b/>
          <w:bCs/>
          <w:color w:val="auto"/>
          <w:sz w:val="24"/>
          <w:highlight w:val="none"/>
          <w:lang w:val="zh-CN"/>
        </w:rPr>
      </w:pPr>
      <w:bookmarkStart w:id="373" w:name="_Toc8298"/>
      <w:bookmarkStart w:id="374" w:name="_Toc259093687"/>
      <w:bookmarkStart w:id="375" w:name="_Toc279701258"/>
      <w:bookmarkStart w:id="376" w:name="_Toc487900368"/>
      <w:bookmarkStart w:id="377" w:name="_Toc16959"/>
      <w:bookmarkStart w:id="378" w:name="_Toc7102"/>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373"/>
      <w:bookmarkEnd w:id="374"/>
      <w:bookmarkEnd w:id="375"/>
      <w:bookmarkEnd w:id="376"/>
      <w:bookmarkEnd w:id="377"/>
      <w:bookmarkEnd w:id="378"/>
    </w:p>
    <w:p w14:paraId="579FDDE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0BA4FE4D">
      <w:pPr>
        <w:spacing w:line="360" w:lineRule="auto"/>
        <w:ind w:firstLine="437"/>
        <w:outlineLvl w:val="3"/>
        <w:rPr>
          <w:rFonts w:asciiTheme="minorEastAsia" w:hAnsiTheme="minorEastAsia" w:eastAsiaTheme="minorEastAsia"/>
          <w:b/>
          <w:color w:val="auto"/>
          <w:sz w:val="24"/>
          <w:highlight w:val="none"/>
        </w:rPr>
      </w:pPr>
      <w:bookmarkStart w:id="379" w:name="_Toc15387"/>
      <w:bookmarkStart w:id="380" w:name="_Toc6134"/>
      <w:bookmarkStart w:id="381" w:name="_Toc29333"/>
      <w:r>
        <w:rPr>
          <w:rFonts w:hint="eastAsia" w:asciiTheme="minorEastAsia" w:hAnsiTheme="minorEastAsia" w:eastAsiaTheme="minorEastAsia"/>
          <w:b/>
          <w:bCs/>
          <w:color w:val="auto"/>
          <w:sz w:val="24"/>
          <w:highlight w:val="none"/>
          <w:lang w:val="zh-CN"/>
        </w:rPr>
        <w:t>2.16 合同中止、终止</w:t>
      </w:r>
      <w:bookmarkEnd w:id="379"/>
      <w:bookmarkEnd w:id="380"/>
      <w:bookmarkEnd w:id="381"/>
    </w:p>
    <w:p w14:paraId="55598C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6B71FC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6FC0C58D">
      <w:pPr>
        <w:spacing w:line="360" w:lineRule="auto"/>
        <w:ind w:firstLine="437"/>
        <w:outlineLvl w:val="3"/>
        <w:rPr>
          <w:rFonts w:asciiTheme="minorEastAsia" w:hAnsiTheme="minorEastAsia" w:eastAsiaTheme="minorEastAsia"/>
          <w:b/>
          <w:bCs/>
          <w:color w:val="auto"/>
          <w:sz w:val="24"/>
          <w:highlight w:val="none"/>
          <w:lang w:val="zh-CN"/>
        </w:rPr>
      </w:pPr>
      <w:bookmarkStart w:id="382" w:name="_Toc14563"/>
      <w:bookmarkStart w:id="383" w:name="_Toc1125"/>
      <w:bookmarkStart w:id="384" w:name="_Toc6596"/>
      <w:r>
        <w:rPr>
          <w:rFonts w:hint="eastAsia" w:asciiTheme="minorEastAsia" w:hAnsiTheme="minorEastAsia" w:eastAsiaTheme="minorEastAsia"/>
          <w:b/>
          <w:bCs/>
          <w:color w:val="auto"/>
          <w:sz w:val="24"/>
          <w:highlight w:val="none"/>
          <w:lang w:val="zh-CN"/>
        </w:rPr>
        <w:t>2.17 检验和验收</w:t>
      </w:r>
      <w:bookmarkEnd w:id="382"/>
      <w:bookmarkEnd w:id="383"/>
      <w:bookmarkEnd w:id="384"/>
    </w:p>
    <w:p w14:paraId="43B57FE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783B6BC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CCA5F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354"/>
    <w:bookmarkEnd w:id="355"/>
    <w:bookmarkEnd w:id="356"/>
    <w:bookmarkEnd w:id="357"/>
    <w:p w14:paraId="5D570A77">
      <w:pPr>
        <w:spacing w:line="360" w:lineRule="auto"/>
        <w:ind w:firstLine="437"/>
        <w:outlineLvl w:val="3"/>
        <w:rPr>
          <w:rFonts w:asciiTheme="minorEastAsia" w:hAnsiTheme="minorEastAsia" w:eastAsiaTheme="minorEastAsia"/>
          <w:b/>
          <w:color w:val="auto"/>
          <w:sz w:val="24"/>
          <w:highlight w:val="none"/>
        </w:rPr>
      </w:pPr>
      <w:bookmarkStart w:id="385" w:name="_Toc487900372"/>
      <w:bookmarkStart w:id="386" w:name="_Toc30599"/>
      <w:bookmarkStart w:id="387" w:name="_Toc259093691"/>
      <w:bookmarkStart w:id="388" w:name="_Toc4355"/>
      <w:bookmarkStart w:id="389" w:name="_Toc279701262"/>
      <w:bookmarkStart w:id="390" w:name="_Toc18540"/>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385"/>
      <w:bookmarkEnd w:id="386"/>
      <w:bookmarkEnd w:id="387"/>
      <w:bookmarkEnd w:id="388"/>
      <w:bookmarkEnd w:id="389"/>
      <w:bookmarkEnd w:id="390"/>
    </w:p>
    <w:p w14:paraId="7DD4B81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02BAB7C4">
      <w:pPr>
        <w:spacing w:line="360" w:lineRule="auto"/>
        <w:ind w:firstLine="437"/>
        <w:outlineLvl w:val="3"/>
        <w:rPr>
          <w:rFonts w:asciiTheme="minorEastAsia" w:hAnsiTheme="minorEastAsia" w:eastAsiaTheme="minorEastAsia"/>
          <w:b/>
          <w:bCs/>
          <w:color w:val="auto"/>
          <w:sz w:val="24"/>
          <w:highlight w:val="none"/>
        </w:rPr>
      </w:pPr>
      <w:bookmarkStart w:id="391" w:name="_Toc279701263"/>
      <w:bookmarkStart w:id="392" w:name="_Toc10330"/>
      <w:bookmarkStart w:id="393" w:name="_Toc259093692"/>
      <w:bookmarkStart w:id="394" w:name="_Toc487900373"/>
      <w:bookmarkStart w:id="395" w:name="_Toc18567"/>
      <w:bookmarkStart w:id="396" w:name="_Toc12773"/>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391"/>
      <w:bookmarkEnd w:id="392"/>
      <w:bookmarkEnd w:id="393"/>
      <w:bookmarkEnd w:id="394"/>
      <w:bookmarkEnd w:id="395"/>
      <w:bookmarkEnd w:id="396"/>
    </w:p>
    <w:p w14:paraId="08DF3A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5DED58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6BBD5F4A">
      <w:pPr>
        <w:spacing w:line="360" w:lineRule="auto"/>
        <w:ind w:firstLine="437"/>
        <w:outlineLvl w:val="3"/>
        <w:rPr>
          <w:rFonts w:asciiTheme="minorEastAsia" w:hAnsiTheme="minorEastAsia" w:eastAsiaTheme="minorEastAsia"/>
          <w:b/>
          <w:color w:val="auto"/>
          <w:sz w:val="24"/>
          <w:highlight w:val="none"/>
        </w:rPr>
      </w:pPr>
      <w:bookmarkStart w:id="397" w:name="_Toc259093693"/>
      <w:bookmarkStart w:id="398" w:name="_Toc279701264"/>
      <w:bookmarkStart w:id="399" w:name="_Toc3148"/>
      <w:bookmarkStart w:id="400" w:name="_Toc16673"/>
      <w:bookmarkStart w:id="401" w:name="_Toc12004"/>
      <w:bookmarkStart w:id="402"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397"/>
      <w:bookmarkEnd w:id="398"/>
      <w:bookmarkEnd w:id="399"/>
      <w:bookmarkEnd w:id="400"/>
      <w:bookmarkEnd w:id="401"/>
    </w:p>
    <w:p w14:paraId="266690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4923AC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5A9CAAD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402"/>
    <w:p w14:paraId="63EB28A0">
      <w:pPr>
        <w:spacing w:line="360" w:lineRule="auto"/>
        <w:ind w:firstLine="437"/>
        <w:outlineLvl w:val="3"/>
        <w:rPr>
          <w:rFonts w:asciiTheme="minorEastAsia" w:hAnsiTheme="minorEastAsia" w:eastAsiaTheme="minorEastAsia"/>
          <w:b/>
          <w:color w:val="auto"/>
          <w:sz w:val="24"/>
          <w:highlight w:val="none"/>
        </w:rPr>
      </w:pPr>
      <w:bookmarkStart w:id="403" w:name="_Toc14001"/>
      <w:bookmarkStart w:id="404" w:name="_Toc6885"/>
      <w:bookmarkStart w:id="405" w:name="_Toc19890"/>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403"/>
      <w:bookmarkEnd w:id="404"/>
      <w:bookmarkEnd w:id="405"/>
    </w:p>
    <w:p w14:paraId="35DFC8A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057571A4">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406" w:name="_Toc18457"/>
      <w:bookmarkStart w:id="407"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406"/>
      <w:bookmarkEnd w:id="407"/>
    </w:p>
    <w:p w14:paraId="05EE73C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6FE98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5E4F6D20">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494C2359">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5DFF7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41C5BC29">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6A3962FF">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44142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B5DAB6A">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1EAEC4A5">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7B916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2711F6C7">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71CE8E9A">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7D54E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66EAB52">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1E5B81DA">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2875A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F59E585">
            <w:pPr>
              <w:spacing w:line="560" w:lineRule="exact"/>
              <w:rPr>
                <w:rFonts w:asciiTheme="minorEastAsia" w:hAnsiTheme="minorEastAsia" w:eastAsiaTheme="minorEastAsia"/>
                <w:color w:val="auto"/>
                <w:sz w:val="24"/>
                <w:highlight w:val="none"/>
              </w:rPr>
            </w:pPr>
          </w:p>
        </w:tc>
        <w:tc>
          <w:tcPr>
            <w:tcW w:w="8259" w:type="dxa"/>
            <w:vAlign w:val="center"/>
          </w:tcPr>
          <w:p w14:paraId="1B3B04AC">
            <w:pPr>
              <w:spacing w:line="560" w:lineRule="exact"/>
              <w:rPr>
                <w:rFonts w:asciiTheme="minorEastAsia" w:hAnsiTheme="minorEastAsia" w:eastAsiaTheme="minorEastAsia"/>
                <w:color w:val="auto"/>
                <w:sz w:val="24"/>
                <w:highlight w:val="none"/>
                <w:u w:val="single"/>
              </w:rPr>
            </w:pPr>
          </w:p>
        </w:tc>
      </w:tr>
      <w:tr w14:paraId="02397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96FDC3F">
            <w:pPr>
              <w:spacing w:line="560" w:lineRule="exact"/>
              <w:rPr>
                <w:rFonts w:asciiTheme="minorEastAsia" w:hAnsiTheme="minorEastAsia" w:eastAsiaTheme="minorEastAsia"/>
                <w:color w:val="auto"/>
                <w:sz w:val="24"/>
                <w:highlight w:val="none"/>
              </w:rPr>
            </w:pPr>
          </w:p>
        </w:tc>
        <w:tc>
          <w:tcPr>
            <w:tcW w:w="8259" w:type="dxa"/>
            <w:vAlign w:val="center"/>
          </w:tcPr>
          <w:p w14:paraId="5F6D067D">
            <w:pPr>
              <w:spacing w:line="560" w:lineRule="exact"/>
              <w:rPr>
                <w:rFonts w:asciiTheme="minorEastAsia" w:hAnsiTheme="minorEastAsia" w:eastAsiaTheme="minorEastAsia"/>
                <w:color w:val="auto"/>
                <w:sz w:val="24"/>
                <w:highlight w:val="none"/>
              </w:rPr>
            </w:pPr>
          </w:p>
        </w:tc>
      </w:tr>
      <w:tr w14:paraId="4AC7A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04200733">
            <w:pPr>
              <w:spacing w:line="560" w:lineRule="exact"/>
              <w:rPr>
                <w:rFonts w:asciiTheme="minorEastAsia" w:hAnsiTheme="minorEastAsia" w:eastAsiaTheme="minorEastAsia"/>
                <w:color w:val="auto"/>
                <w:sz w:val="24"/>
                <w:highlight w:val="none"/>
              </w:rPr>
            </w:pPr>
          </w:p>
        </w:tc>
        <w:tc>
          <w:tcPr>
            <w:tcW w:w="8259" w:type="dxa"/>
            <w:vAlign w:val="center"/>
          </w:tcPr>
          <w:p w14:paraId="356BE39B">
            <w:pPr>
              <w:spacing w:line="560" w:lineRule="exact"/>
              <w:rPr>
                <w:rFonts w:asciiTheme="minorEastAsia" w:hAnsiTheme="minorEastAsia" w:eastAsiaTheme="minorEastAsia"/>
                <w:color w:val="auto"/>
                <w:sz w:val="24"/>
                <w:highlight w:val="none"/>
                <w:u w:val="single"/>
              </w:rPr>
            </w:pPr>
          </w:p>
        </w:tc>
      </w:tr>
      <w:tr w14:paraId="4DA29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385E8293">
            <w:pPr>
              <w:spacing w:line="560" w:lineRule="exact"/>
              <w:rPr>
                <w:rFonts w:asciiTheme="minorEastAsia" w:hAnsiTheme="minorEastAsia" w:eastAsiaTheme="minorEastAsia"/>
                <w:color w:val="auto"/>
                <w:sz w:val="24"/>
                <w:highlight w:val="none"/>
              </w:rPr>
            </w:pPr>
          </w:p>
        </w:tc>
        <w:tc>
          <w:tcPr>
            <w:tcW w:w="8259" w:type="dxa"/>
            <w:vAlign w:val="center"/>
          </w:tcPr>
          <w:p w14:paraId="4E131523">
            <w:pPr>
              <w:spacing w:line="560" w:lineRule="exact"/>
              <w:rPr>
                <w:rFonts w:asciiTheme="minorEastAsia" w:hAnsiTheme="minorEastAsia" w:eastAsiaTheme="minorEastAsia"/>
                <w:color w:val="auto"/>
                <w:sz w:val="24"/>
                <w:highlight w:val="none"/>
              </w:rPr>
            </w:pPr>
          </w:p>
        </w:tc>
      </w:tr>
      <w:tr w14:paraId="3771F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67D470B9">
            <w:pPr>
              <w:spacing w:line="560" w:lineRule="exact"/>
              <w:rPr>
                <w:rFonts w:asciiTheme="minorEastAsia" w:hAnsiTheme="minorEastAsia" w:eastAsiaTheme="minorEastAsia"/>
                <w:color w:val="auto"/>
                <w:sz w:val="24"/>
                <w:highlight w:val="none"/>
              </w:rPr>
            </w:pPr>
          </w:p>
        </w:tc>
        <w:tc>
          <w:tcPr>
            <w:tcW w:w="8259" w:type="dxa"/>
            <w:vAlign w:val="center"/>
          </w:tcPr>
          <w:p w14:paraId="0ABB001F">
            <w:pPr>
              <w:spacing w:line="560" w:lineRule="exact"/>
              <w:rPr>
                <w:rFonts w:asciiTheme="minorEastAsia" w:hAnsiTheme="minorEastAsia" w:eastAsiaTheme="minorEastAsia"/>
                <w:color w:val="auto"/>
                <w:sz w:val="24"/>
                <w:highlight w:val="none"/>
              </w:rPr>
            </w:pPr>
          </w:p>
        </w:tc>
      </w:tr>
      <w:tr w14:paraId="75CA1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02DB97BC">
            <w:pPr>
              <w:spacing w:line="560" w:lineRule="exact"/>
              <w:rPr>
                <w:rFonts w:asciiTheme="minorEastAsia" w:hAnsiTheme="minorEastAsia" w:eastAsiaTheme="minorEastAsia"/>
                <w:color w:val="auto"/>
                <w:sz w:val="24"/>
                <w:highlight w:val="none"/>
              </w:rPr>
            </w:pPr>
          </w:p>
        </w:tc>
        <w:tc>
          <w:tcPr>
            <w:tcW w:w="8259" w:type="dxa"/>
            <w:vAlign w:val="center"/>
          </w:tcPr>
          <w:p w14:paraId="0936F4B1">
            <w:pPr>
              <w:spacing w:line="560" w:lineRule="exact"/>
              <w:rPr>
                <w:rFonts w:asciiTheme="minorEastAsia" w:hAnsiTheme="minorEastAsia" w:eastAsiaTheme="minorEastAsia"/>
                <w:color w:val="auto"/>
                <w:sz w:val="24"/>
                <w:highlight w:val="none"/>
              </w:rPr>
            </w:pPr>
          </w:p>
        </w:tc>
      </w:tr>
      <w:tr w14:paraId="78F19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B8AE5D1">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E1F4091">
            <w:pPr>
              <w:spacing w:line="560" w:lineRule="exact"/>
              <w:rPr>
                <w:rFonts w:asciiTheme="minorEastAsia" w:hAnsiTheme="minorEastAsia" w:eastAsiaTheme="minorEastAsia"/>
                <w:color w:val="auto"/>
                <w:sz w:val="24"/>
                <w:highlight w:val="none"/>
              </w:rPr>
            </w:pPr>
          </w:p>
        </w:tc>
      </w:tr>
      <w:tr w14:paraId="25247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8F7C11B">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3E4A939">
            <w:pPr>
              <w:spacing w:line="560" w:lineRule="exact"/>
              <w:rPr>
                <w:rFonts w:asciiTheme="minorEastAsia" w:hAnsiTheme="minorEastAsia" w:eastAsiaTheme="minorEastAsia"/>
                <w:color w:val="auto"/>
                <w:sz w:val="24"/>
                <w:highlight w:val="none"/>
              </w:rPr>
            </w:pPr>
          </w:p>
        </w:tc>
      </w:tr>
      <w:tr w14:paraId="5F94F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268EF1B3">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F7A8C65">
            <w:pPr>
              <w:spacing w:line="560" w:lineRule="exact"/>
              <w:rPr>
                <w:rFonts w:asciiTheme="minorEastAsia" w:hAnsiTheme="minorEastAsia" w:eastAsiaTheme="minorEastAsia"/>
                <w:color w:val="auto"/>
                <w:sz w:val="24"/>
                <w:highlight w:val="none"/>
              </w:rPr>
            </w:pPr>
          </w:p>
        </w:tc>
      </w:tr>
    </w:tbl>
    <w:p w14:paraId="29E5B931">
      <w:pPr>
        <w:widowControl/>
        <w:spacing w:line="560" w:lineRule="exact"/>
        <w:jc w:val="left"/>
        <w:rPr>
          <w:rFonts w:asciiTheme="minorEastAsia" w:hAnsiTheme="minorEastAsia" w:eastAsiaTheme="minorEastAsia" w:cstheme="minorEastAsia"/>
          <w:bCs/>
          <w:color w:val="auto"/>
          <w:sz w:val="24"/>
          <w:highlight w:val="none"/>
        </w:rPr>
      </w:pPr>
    </w:p>
    <w:p w14:paraId="18D9544C">
      <w:pPr>
        <w:widowControl/>
        <w:jc w:val="left"/>
        <w:rPr>
          <w:rFonts w:asciiTheme="minorEastAsia" w:hAnsiTheme="minorEastAsia" w:eastAsiaTheme="minorEastAsia" w:cstheme="minorEastAsia"/>
          <w:b/>
          <w:color w:val="auto"/>
          <w:sz w:val="24"/>
          <w:highlight w:val="none"/>
        </w:rPr>
      </w:pPr>
    </w:p>
    <w:p w14:paraId="1F0A8F53">
      <w:pPr>
        <w:widowControl/>
        <w:jc w:val="left"/>
        <w:rPr>
          <w:rFonts w:asciiTheme="minorEastAsia" w:hAnsiTheme="minorEastAsia" w:eastAsiaTheme="minorEastAsia" w:cstheme="minorEastAsia"/>
          <w:b/>
          <w:color w:val="auto"/>
          <w:sz w:val="24"/>
          <w:highlight w:val="none"/>
        </w:rPr>
      </w:pPr>
    </w:p>
    <w:p w14:paraId="7C9AD5ED">
      <w:pPr>
        <w:widowControl/>
        <w:jc w:val="left"/>
        <w:rPr>
          <w:rFonts w:ascii="宋体" w:cs="宋体"/>
          <w:color w:val="auto"/>
          <w:highlight w:val="none"/>
        </w:rPr>
      </w:pPr>
    </w:p>
    <w:p w14:paraId="20D3540E">
      <w:pPr>
        <w:snapToGrid w:val="0"/>
        <w:spacing w:line="480" w:lineRule="auto"/>
        <w:rPr>
          <w:rFonts w:ascii="宋体" w:cs="宋体"/>
          <w:color w:val="auto"/>
          <w:highlight w:val="none"/>
        </w:rPr>
      </w:pPr>
      <w:r>
        <w:rPr>
          <w:rFonts w:ascii="宋体" w:cs="宋体"/>
          <w:color w:val="auto"/>
          <w:highlight w:val="none"/>
        </w:rPr>
        <w:br w:type="page"/>
      </w:r>
    </w:p>
    <w:p w14:paraId="002FE3AB">
      <w:pPr>
        <w:spacing w:before="113" w:line="227" w:lineRule="auto"/>
        <w:ind w:left="2740"/>
        <w:outlineLvl w:val="0"/>
        <w:rPr>
          <w:rFonts w:ascii="黑体" w:hAnsi="黑体" w:eastAsia="黑体" w:cs="黑体"/>
          <w:color w:val="auto"/>
          <w:sz w:val="35"/>
          <w:szCs w:val="35"/>
          <w:highlight w:val="none"/>
        </w:rPr>
      </w:pPr>
      <w:bookmarkStart w:id="408" w:name="_Toc17278"/>
      <w:r>
        <w:rPr>
          <w:rFonts w:ascii="黑体" w:hAnsi="黑体" w:eastAsia="黑体" w:cs="黑体"/>
          <w:b/>
          <w:bCs/>
          <w:color w:val="auto"/>
          <w:spacing w:val="2"/>
          <w:sz w:val="35"/>
          <w:szCs w:val="35"/>
          <w:highlight w:val="none"/>
        </w:rPr>
        <w:t>第六章</w:t>
      </w:r>
      <w:r>
        <w:rPr>
          <w:rFonts w:ascii="黑体" w:hAnsi="黑体" w:eastAsia="黑体" w:cs="黑体"/>
          <w:color w:val="auto"/>
          <w:spacing w:val="22"/>
          <w:sz w:val="35"/>
          <w:szCs w:val="35"/>
          <w:highlight w:val="none"/>
        </w:rPr>
        <w:t xml:space="preserve">  </w:t>
      </w:r>
      <w:r>
        <w:rPr>
          <w:rFonts w:ascii="黑体" w:hAnsi="黑体" w:eastAsia="黑体" w:cs="黑体"/>
          <w:b/>
          <w:bCs/>
          <w:color w:val="auto"/>
          <w:spacing w:val="2"/>
          <w:sz w:val="35"/>
          <w:szCs w:val="35"/>
          <w:highlight w:val="none"/>
        </w:rPr>
        <w:t>响应文件格式</w:t>
      </w:r>
      <w:bookmarkEnd w:id="408"/>
    </w:p>
    <w:p w14:paraId="76BBFA65">
      <w:pPr>
        <w:pStyle w:val="26"/>
        <w:spacing w:line="338" w:lineRule="auto"/>
        <w:rPr>
          <w:color w:val="auto"/>
          <w:highlight w:val="none"/>
        </w:rPr>
      </w:pPr>
    </w:p>
    <w:p w14:paraId="67DE4E9D">
      <w:pPr>
        <w:pStyle w:val="26"/>
        <w:spacing w:line="338" w:lineRule="auto"/>
        <w:rPr>
          <w:color w:val="auto"/>
          <w:highlight w:val="none"/>
        </w:rPr>
      </w:pPr>
    </w:p>
    <w:p w14:paraId="41A7B6B8">
      <w:pPr>
        <w:tabs>
          <w:tab w:val="left" w:pos="7440"/>
        </w:tabs>
        <w:spacing w:before="113" w:line="229" w:lineRule="auto"/>
        <w:ind w:left="823"/>
        <w:rPr>
          <w:rFonts w:ascii="仿宋" w:hAnsi="仿宋" w:eastAsia="仿宋" w:cs="仿宋"/>
          <w:color w:val="auto"/>
          <w:sz w:val="35"/>
          <w:szCs w:val="35"/>
          <w:highlight w:val="none"/>
        </w:rPr>
      </w:pPr>
      <w:r>
        <w:rPr>
          <w:rFonts w:ascii="仿宋" w:hAnsi="仿宋" w:eastAsia="仿宋" w:cs="仿宋"/>
          <w:color w:val="auto"/>
          <w:sz w:val="35"/>
          <w:szCs w:val="35"/>
          <w:highlight w:val="none"/>
          <w:u w:val="single" w:color="auto"/>
        </w:rPr>
        <w:tab/>
      </w:r>
      <w:r>
        <w:rPr>
          <w:rFonts w:ascii="仿宋" w:hAnsi="仿宋" w:eastAsia="仿宋" w:cs="仿宋"/>
          <w:color w:val="auto"/>
          <w:spacing w:val="-148"/>
          <w:sz w:val="35"/>
          <w:szCs w:val="35"/>
          <w:highlight w:val="none"/>
        </w:rPr>
        <w:t xml:space="preserve"> </w:t>
      </w:r>
      <w:r>
        <w:rPr>
          <w:rFonts w:ascii="仿宋" w:hAnsi="仿宋" w:eastAsia="仿宋" w:cs="仿宋"/>
          <w:b/>
          <w:bCs/>
          <w:color w:val="auto"/>
          <w:spacing w:val="-12"/>
          <w:sz w:val="35"/>
          <w:szCs w:val="35"/>
          <w:highlight w:val="none"/>
        </w:rPr>
        <w:t>项</w:t>
      </w:r>
      <w:r>
        <w:rPr>
          <w:rFonts w:ascii="仿宋" w:hAnsi="仿宋" w:eastAsia="仿宋" w:cs="仿宋"/>
          <w:color w:val="auto"/>
          <w:spacing w:val="-47"/>
          <w:sz w:val="35"/>
          <w:szCs w:val="35"/>
          <w:highlight w:val="none"/>
        </w:rPr>
        <w:t xml:space="preserve"> </w:t>
      </w:r>
      <w:r>
        <w:rPr>
          <w:rFonts w:ascii="仿宋" w:hAnsi="仿宋" w:eastAsia="仿宋" w:cs="仿宋"/>
          <w:b/>
          <w:bCs/>
          <w:color w:val="auto"/>
          <w:spacing w:val="-12"/>
          <w:sz w:val="35"/>
          <w:szCs w:val="35"/>
          <w:highlight w:val="none"/>
        </w:rPr>
        <w:t>目</w:t>
      </w:r>
    </w:p>
    <w:p w14:paraId="60777346">
      <w:pPr>
        <w:pStyle w:val="26"/>
        <w:spacing w:line="243" w:lineRule="auto"/>
        <w:rPr>
          <w:color w:val="auto"/>
          <w:highlight w:val="none"/>
        </w:rPr>
      </w:pPr>
      <w:r>
        <w:rPr>
          <w:color w:val="auto"/>
          <w:highlight w:val="none"/>
        </w:rPr>
        <w:pict>
          <v:shape id="_x0000_s2050" o:spid="_x0000_s2050" o:spt="202" type="#_x0000_t202" style="position:absolute;left:0pt;margin-left:201.9pt;margin-top:7.25pt;height:372.1pt;width:43.8pt;z-index:251660288;mso-width-relative:page;mso-height-relative:page;" filled="f" stroked="f" coordsize="21600,21600">
            <v:path/>
            <v:fill on="f" focussize="0,0"/>
            <v:stroke on="f"/>
            <v:imagedata o:title=""/>
            <o:lock v:ext="edit" aspectratio="f"/>
            <v:textbox inset="0mm,0mm,0mm,0mm" style="layout-flow:vertical-ideographic;">
              <w:txbxContent>
                <w:p w14:paraId="73EA383F">
                  <w:pPr>
                    <w:spacing w:before="21" w:line="208" w:lineRule="auto"/>
                    <w:ind w:left="20"/>
                    <w:rPr>
                      <w:rFonts w:ascii="宋体" w:hAnsi="宋体" w:eastAsia="宋体" w:cs="宋体"/>
                      <w:sz w:val="71"/>
                      <w:szCs w:val="71"/>
                    </w:rPr>
                  </w:pPr>
                  <w:r>
                    <w:rPr>
                      <w:rFonts w:ascii="宋体" w:hAnsi="宋体" w:eastAsia="宋体" w:cs="宋体"/>
                      <w:b/>
                      <w:bCs/>
                      <w:spacing w:val="1"/>
                      <w:position w:val="1"/>
                      <w:sz w:val="71"/>
                      <w:szCs w:val="71"/>
                    </w:rPr>
                    <w:t>响</w:t>
                  </w:r>
                  <w:r>
                    <w:rPr>
                      <w:rFonts w:ascii="宋体" w:hAnsi="宋体" w:eastAsia="宋体" w:cs="宋体"/>
                      <w:spacing w:val="30"/>
                      <w:position w:val="1"/>
                      <w:sz w:val="71"/>
                      <w:szCs w:val="71"/>
                    </w:rPr>
                    <w:t xml:space="preserve">   </w:t>
                  </w:r>
                  <w:r>
                    <w:rPr>
                      <w:rFonts w:ascii="宋体" w:hAnsi="宋体" w:eastAsia="宋体" w:cs="宋体"/>
                      <w:b/>
                      <w:bCs/>
                      <w:spacing w:val="1"/>
                      <w:sz w:val="71"/>
                      <w:szCs w:val="71"/>
                    </w:rPr>
                    <w:t>应</w:t>
                  </w:r>
                  <w:r>
                    <w:rPr>
                      <w:rFonts w:ascii="宋体" w:hAnsi="宋体" w:eastAsia="宋体" w:cs="宋体"/>
                      <w:spacing w:val="29"/>
                      <w:sz w:val="71"/>
                      <w:szCs w:val="71"/>
                    </w:rPr>
                    <w:t xml:space="preserve">   </w:t>
                  </w:r>
                  <w:r>
                    <w:rPr>
                      <w:rFonts w:ascii="宋体" w:hAnsi="宋体" w:eastAsia="宋体" w:cs="宋体"/>
                      <w:b/>
                      <w:bCs/>
                      <w:spacing w:val="1"/>
                      <w:sz w:val="71"/>
                      <w:szCs w:val="71"/>
                    </w:rPr>
                    <w:t>文</w:t>
                  </w:r>
                  <w:r>
                    <w:rPr>
                      <w:rFonts w:ascii="宋体" w:hAnsi="宋体" w:eastAsia="宋体" w:cs="宋体"/>
                      <w:spacing w:val="29"/>
                      <w:sz w:val="71"/>
                      <w:szCs w:val="71"/>
                    </w:rPr>
                    <w:t xml:space="preserve">   </w:t>
                  </w:r>
                  <w:r>
                    <w:rPr>
                      <w:rFonts w:ascii="宋体" w:hAnsi="宋体" w:eastAsia="宋体" w:cs="宋体"/>
                      <w:b/>
                      <w:bCs/>
                      <w:spacing w:val="1"/>
                      <w:sz w:val="71"/>
                      <w:szCs w:val="71"/>
                    </w:rPr>
                    <w:t>件</w:t>
                  </w:r>
                </w:p>
              </w:txbxContent>
            </v:textbox>
          </v:shape>
        </w:pict>
      </w:r>
    </w:p>
    <w:p w14:paraId="052D162A">
      <w:pPr>
        <w:pStyle w:val="26"/>
        <w:spacing w:line="243" w:lineRule="auto"/>
        <w:rPr>
          <w:color w:val="auto"/>
          <w:highlight w:val="none"/>
        </w:rPr>
      </w:pPr>
    </w:p>
    <w:p w14:paraId="179934A0">
      <w:pPr>
        <w:pStyle w:val="26"/>
        <w:spacing w:line="243" w:lineRule="auto"/>
        <w:rPr>
          <w:color w:val="auto"/>
          <w:highlight w:val="none"/>
        </w:rPr>
      </w:pPr>
    </w:p>
    <w:p w14:paraId="3F310531">
      <w:pPr>
        <w:pStyle w:val="26"/>
        <w:spacing w:line="243" w:lineRule="auto"/>
        <w:rPr>
          <w:color w:val="auto"/>
          <w:highlight w:val="none"/>
        </w:rPr>
      </w:pPr>
    </w:p>
    <w:p w14:paraId="7AE60109">
      <w:pPr>
        <w:pStyle w:val="26"/>
        <w:spacing w:line="243" w:lineRule="auto"/>
        <w:rPr>
          <w:color w:val="auto"/>
          <w:highlight w:val="none"/>
        </w:rPr>
      </w:pPr>
    </w:p>
    <w:p w14:paraId="32750B83">
      <w:pPr>
        <w:pStyle w:val="26"/>
        <w:spacing w:line="243" w:lineRule="auto"/>
        <w:rPr>
          <w:color w:val="auto"/>
          <w:highlight w:val="none"/>
        </w:rPr>
      </w:pPr>
    </w:p>
    <w:p w14:paraId="5F280D9B">
      <w:pPr>
        <w:pStyle w:val="26"/>
        <w:spacing w:line="243" w:lineRule="auto"/>
        <w:rPr>
          <w:color w:val="auto"/>
          <w:highlight w:val="none"/>
        </w:rPr>
      </w:pPr>
    </w:p>
    <w:p w14:paraId="3BE2E069">
      <w:pPr>
        <w:pStyle w:val="26"/>
        <w:spacing w:line="243" w:lineRule="auto"/>
        <w:rPr>
          <w:color w:val="auto"/>
          <w:highlight w:val="none"/>
        </w:rPr>
      </w:pPr>
    </w:p>
    <w:p w14:paraId="14DF96DD">
      <w:pPr>
        <w:pStyle w:val="26"/>
        <w:spacing w:line="243" w:lineRule="auto"/>
        <w:rPr>
          <w:color w:val="auto"/>
          <w:highlight w:val="none"/>
        </w:rPr>
      </w:pPr>
    </w:p>
    <w:p w14:paraId="5261BA0C">
      <w:pPr>
        <w:pStyle w:val="26"/>
        <w:spacing w:line="243" w:lineRule="auto"/>
        <w:rPr>
          <w:color w:val="auto"/>
          <w:highlight w:val="none"/>
        </w:rPr>
      </w:pPr>
    </w:p>
    <w:p w14:paraId="3CC2B4AA">
      <w:pPr>
        <w:pStyle w:val="26"/>
        <w:spacing w:line="243" w:lineRule="auto"/>
        <w:rPr>
          <w:color w:val="auto"/>
          <w:highlight w:val="none"/>
        </w:rPr>
      </w:pPr>
    </w:p>
    <w:p w14:paraId="4949165D">
      <w:pPr>
        <w:pStyle w:val="26"/>
        <w:spacing w:line="243" w:lineRule="auto"/>
        <w:rPr>
          <w:color w:val="auto"/>
          <w:highlight w:val="none"/>
        </w:rPr>
      </w:pPr>
    </w:p>
    <w:p w14:paraId="108FF23A">
      <w:pPr>
        <w:pStyle w:val="26"/>
        <w:spacing w:line="243" w:lineRule="auto"/>
        <w:rPr>
          <w:color w:val="auto"/>
          <w:highlight w:val="none"/>
        </w:rPr>
      </w:pPr>
    </w:p>
    <w:p w14:paraId="6120C76E">
      <w:pPr>
        <w:pStyle w:val="26"/>
        <w:spacing w:line="243" w:lineRule="auto"/>
        <w:rPr>
          <w:color w:val="auto"/>
          <w:highlight w:val="none"/>
        </w:rPr>
      </w:pPr>
    </w:p>
    <w:p w14:paraId="0CC6A1AA">
      <w:pPr>
        <w:pStyle w:val="26"/>
        <w:spacing w:line="243" w:lineRule="auto"/>
        <w:rPr>
          <w:color w:val="auto"/>
          <w:highlight w:val="none"/>
        </w:rPr>
      </w:pPr>
    </w:p>
    <w:p w14:paraId="6F53EADF">
      <w:pPr>
        <w:pStyle w:val="26"/>
        <w:spacing w:line="243" w:lineRule="auto"/>
        <w:rPr>
          <w:color w:val="auto"/>
          <w:highlight w:val="none"/>
        </w:rPr>
      </w:pPr>
    </w:p>
    <w:p w14:paraId="5225238F">
      <w:pPr>
        <w:pStyle w:val="26"/>
        <w:spacing w:line="243" w:lineRule="auto"/>
        <w:rPr>
          <w:color w:val="auto"/>
          <w:highlight w:val="none"/>
        </w:rPr>
      </w:pPr>
    </w:p>
    <w:p w14:paraId="6AB50D10">
      <w:pPr>
        <w:pStyle w:val="26"/>
        <w:spacing w:line="243" w:lineRule="auto"/>
        <w:rPr>
          <w:color w:val="auto"/>
          <w:highlight w:val="none"/>
        </w:rPr>
      </w:pPr>
    </w:p>
    <w:p w14:paraId="097F8C7D">
      <w:pPr>
        <w:pStyle w:val="26"/>
        <w:spacing w:line="243" w:lineRule="auto"/>
        <w:rPr>
          <w:color w:val="auto"/>
          <w:highlight w:val="none"/>
        </w:rPr>
      </w:pPr>
    </w:p>
    <w:p w14:paraId="4C06901F">
      <w:pPr>
        <w:pStyle w:val="26"/>
        <w:spacing w:line="243" w:lineRule="auto"/>
        <w:rPr>
          <w:color w:val="auto"/>
          <w:highlight w:val="none"/>
        </w:rPr>
      </w:pPr>
    </w:p>
    <w:p w14:paraId="155D7604">
      <w:pPr>
        <w:pStyle w:val="26"/>
        <w:spacing w:line="243" w:lineRule="auto"/>
        <w:rPr>
          <w:color w:val="auto"/>
          <w:highlight w:val="none"/>
        </w:rPr>
      </w:pPr>
    </w:p>
    <w:p w14:paraId="5091D097">
      <w:pPr>
        <w:pStyle w:val="26"/>
        <w:spacing w:line="243" w:lineRule="auto"/>
        <w:rPr>
          <w:color w:val="auto"/>
          <w:highlight w:val="none"/>
        </w:rPr>
      </w:pPr>
    </w:p>
    <w:p w14:paraId="538E90C0">
      <w:pPr>
        <w:pStyle w:val="26"/>
        <w:spacing w:line="243" w:lineRule="auto"/>
        <w:rPr>
          <w:color w:val="auto"/>
          <w:highlight w:val="none"/>
        </w:rPr>
      </w:pPr>
    </w:p>
    <w:p w14:paraId="1CEED509">
      <w:pPr>
        <w:pStyle w:val="26"/>
        <w:spacing w:line="243" w:lineRule="auto"/>
        <w:rPr>
          <w:color w:val="auto"/>
          <w:highlight w:val="none"/>
        </w:rPr>
      </w:pPr>
    </w:p>
    <w:p w14:paraId="5ECB8B01">
      <w:pPr>
        <w:pStyle w:val="26"/>
        <w:spacing w:line="243" w:lineRule="auto"/>
        <w:rPr>
          <w:color w:val="auto"/>
          <w:highlight w:val="none"/>
        </w:rPr>
      </w:pPr>
    </w:p>
    <w:p w14:paraId="3C766E6E">
      <w:pPr>
        <w:pStyle w:val="26"/>
        <w:spacing w:line="244" w:lineRule="auto"/>
        <w:rPr>
          <w:color w:val="auto"/>
          <w:highlight w:val="none"/>
        </w:rPr>
      </w:pPr>
    </w:p>
    <w:p w14:paraId="096C20AB">
      <w:pPr>
        <w:pStyle w:val="26"/>
        <w:spacing w:line="244" w:lineRule="auto"/>
        <w:rPr>
          <w:color w:val="auto"/>
          <w:highlight w:val="none"/>
        </w:rPr>
      </w:pPr>
    </w:p>
    <w:p w14:paraId="53E8BCA0">
      <w:pPr>
        <w:pStyle w:val="26"/>
        <w:spacing w:line="244" w:lineRule="auto"/>
        <w:rPr>
          <w:color w:val="auto"/>
          <w:highlight w:val="none"/>
        </w:rPr>
      </w:pPr>
    </w:p>
    <w:p w14:paraId="7AA7A0C1">
      <w:pPr>
        <w:pStyle w:val="26"/>
        <w:spacing w:line="244" w:lineRule="auto"/>
        <w:rPr>
          <w:color w:val="auto"/>
          <w:highlight w:val="none"/>
        </w:rPr>
      </w:pPr>
    </w:p>
    <w:p w14:paraId="634925C0">
      <w:pPr>
        <w:pStyle w:val="26"/>
        <w:spacing w:line="244" w:lineRule="auto"/>
        <w:rPr>
          <w:color w:val="auto"/>
          <w:highlight w:val="none"/>
        </w:rPr>
      </w:pPr>
    </w:p>
    <w:p w14:paraId="5D3C11B4">
      <w:pPr>
        <w:pStyle w:val="26"/>
        <w:spacing w:line="244" w:lineRule="auto"/>
        <w:rPr>
          <w:color w:val="auto"/>
          <w:highlight w:val="none"/>
        </w:rPr>
      </w:pPr>
    </w:p>
    <w:p w14:paraId="659FB023">
      <w:pPr>
        <w:pStyle w:val="26"/>
        <w:spacing w:line="244" w:lineRule="auto"/>
        <w:rPr>
          <w:color w:val="auto"/>
          <w:highlight w:val="none"/>
        </w:rPr>
      </w:pPr>
    </w:p>
    <w:p w14:paraId="63D91D96">
      <w:pPr>
        <w:pStyle w:val="26"/>
        <w:spacing w:line="244" w:lineRule="auto"/>
        <w:rPr>
          <w:color w:val="auto"/>
          <w:highlight w:val="none"/>
        </w:rPr>
      </w:pPr>
    </w:p>
    <w:p w14:paraId="0CA3ABA3">
      <w:pPr>
        <w:spacing w:before="98" w:line="219" w:lineRule="auto"/>
        <w:ind w:left="158"/>
        <w:rPr>
          <w:rFonts w:ascii="宋体" w:hAnsi="宋体" w:eastAsia="宋体" w:cs="宋体"/>
          <w:color w:val="auto"/>
          <w:sz w:val="30"/>
          <w:szCs w:val="30"/>
          <w:highlight w:val="none"/>
        </w:rPr>
      </w:pPr>
      <w:r>
        <w:rPr>
          <w:rFonts w:ascii="宋体" w:hAnsi="宋体" w:eastAsia="宋体" w:cs="宋体"/>
          <w:b/>
          <w:bCs/>
          <w:color w:val="auto"/>
          <w:spacing w:val="1"/>
          <w:sz w:val="30"/>
          <w:szCs w:val="30"/>
          <w:highlight w:val="none"/>
        </w:rPr>
        <w:t>供应商名称</w:t>
      </w:r>
      <w:r>
        <w:rPr>
          <w:rFonts w:ascii="宋体" w:hAnsi="宋体" w:eastAsia="宋体" w:cs="宋体"/>
          <w:b/>
          <w:bCs/>
          <w:color w:val="auto"/>
          <w:spacing w:val="-25"/>
          <w:sz w:val="30"/>
          <w:szCs w:val="30"/>
          <w:highlight w:val="none"/>
        </w:rPr>
        <w:t>：</w:t>
      </w:r>
      <w:r>
        <w:rPr>
          <w:rFonts w:ascii="宋体" w:hAnsi="宋体" w:eastAsia="宋体" w:cs="宋体"/>
          <w:color w:val="auto"/>
          <w:spacing w:val="3"/>
          <w:sz w:val="30"/>
          <w:szCs w:val="30"/>
          <w:highlight w:val="none"/>
        </w:rPr>
        <w:t xml:space="preserve"> </w:t>
      </w:r>
      <w:r>
        <w:rPr>
          <w:rFonts w:ascii="宋体" w:hAnsi="宋体" w:eastAsia="宋体" w:cs="宋体"/>
          <w:color w:val="auto"/>
          <w:spacing w:val="1"/>
          <w:sz w:val="30"/>
          <w:szCs w:val="30"/>
          <w:highlight w:val="none"/>
          <w:u w:val="single" w:color="auto"/>
        </w:rPr>
        <w:t xml:space="preserve">                       </w:t>
      </w:r>
      <w:r>
        <w:rPr>
          <w:rFonts w:ascii="宋体" w:hAnsi="宋体" w:eastAsia="宋体" w:cs="宋体"/>
          <w:color w:val="auto"/>
          <w:sz w:val="30"/>
          <w:szCs w:val="30"/>
          <w:highlight w:val="none"/>
          <w:u w:val="single" w:color="auto"/>
        </w:rPr>
        <w:t xml:space="preserve">             </w:t>
      </w:r>
      <w:r>
        <w:rPr>
          <w:rFonts w:ascii="宋体" w:hAnsi="宋体" w:eastAsia="宋体" w:cs="宋体"/>
          <w:b/>
          <w:bCs/>
          <w:color w:val="auto"/>
          <w:spacing w:val="-25"/>
          <w:sz w:val="30"/>
          <w:szCs w:val="30"/>
          <w:highlight w:val="none"/>
          <w:u w:val="single" w:color="auto"/>
        </w:rPr>
        <w:t>（</w:t>
      </w:r>
      <w:r>
        <w:rPr>
          <w:rFonts w:ascii="宋体" w:hAnsi="宋体" w:eastAsia="宋体" w:cs="宋体"/>
          <w:b/>
          <w:bCs/>
          <w:color w:val="auto"/>
          <w:spacing w:val="1"/>
          <w:sz w:val="30"/>
          <w:szCs w:val="30"/>
          <w:highlight w:val="none"/>
          <w:u w:val="single" w:color="auto"/>
        </w:rPr>
        <w:t>盖</w:t>
      </w:r>
      <w:r>
        <w:rPr>
          <w:rFonts w:ascii="宋体" w:hAnsi="宋体" w:eastAsia="宋体" w:cs="宋体"/>
          <w:color w:val="auto"/>
          <w:spacing w:val="1"/>
          <w:sz w:val="30"/>
          <w:szCs w:val="30"/>
          <w:highlight w:val="none"/>
          <w:u w:val="single" w:color="auto"/>
        </w:rPr>
        <w:t xml:space="preserve"> </w:t>
      </w:r>
      <w:r>
        <w:rPr>
          <w:rFonts w:ascii="宋体" w:hAnsi="宋体" w:eastAsia="宋体" w:cs="宋体"/>
          <w:b/>
          <w:bCs/>
          <w:color w:val="auto"/>
          <w:spacing w:val="1"/>
          <w:sz w:val="30"/>
          <w:szCs w:val="30"/>
          <w:highlight w:val="none"/>
          <w:u w:val="single" w:color="auto"/>
        </w:rPr>
        <w:t>章）</w:t>
      </w:r>
      <w:r>
        <w:rPr>
          <w:rFonts w:ascii="宋体" w:hAnsi="宋体" w:eastAsia="宋体" w:cs="宋体"/>
          <w:color w:val="auto"/>
          <w:sz w:val="30"/>
          <w:szCs w:val="30"/>
          <w:highlight w:val="none"/>
          <w:u w:val="single" w:color="auto"/>
        </w:rPr>
        <w:t xml:space="preserve">  </w:t>
      </w:r>
    </w:p>
    <w:p w14:paraId="03612054">
      <w:pPr>
        <w:pStyle w:val="26"/>
        <w:spacing w:line="251" w:lineRule="auto"/>
        <w:rPr>
          <w:color w:val="auto"/>
          <w:highlight w:val="none"/>
        </w:rPr>
      </w:pPr>
    </w:p>
    <w:p w14:paraId="248FDAB4">
      <w:pPr>
        <w:pStyle w:val="26"/>
        <w:spacing w:line="252" w:lineRule="auto"/>
        <w:rPr>
          <w:color w:val="auto"/>
          <w:highlight w:val="none"/>
        </w:rPr>
      </w:pPr>
    </w:p>
    <w:p w14:paraId="4DCD3725">
      <w:pPr>
        <w:pStyle w:val="26"/>
        <w:spacing w:line="252" w:lineRule="auto"/>
        <w:rPr>
          <w:color w:val="auto"/>
          <w:highlight w:val="none"/>
        </w:rPr>
      </w:pPr>
    </w:p>
    <w:p w14:paraId="666C2B5B">
      <w:pPr>
        <w:spacing w:before="97" w:line="219" w:lineRule="auto"/>
        <w:ind w:left="2715"/>
        <w:rPr>
          <w:rFonts w:ascii="宋体" w:hAnsi="宋体" w:eastAsia="宋体" w:cs="宋体"/>
          <w:color w:val="auto"/>
          <w:sz w:val="30"/>
          <w:szCs w:val="30"/>
          <w:highlight w:val="none"/>
        </w:rPr>
      </w:pPr>
      <w:r>
        <w:rPr>
          <w:rFonts w:ascii="宋体" w:hAnsi="宋体" w:eastAsia="宋体" w:cs="宋体"/>
          <w:b/>
          <w:bCs/>
          <w:color w:val="auto"/>
          <w:spacing w:val="-19"/>
          <w:sz w:val="30"/>
          <w:szCs w:val="30"/>
          <w:highlight w:val="none"/>
        </w:rPr>
        <w:t>日期：</w:t>
      </w:r>
      <w:r>
        <w:rPr>
          <w:rFonts w:ascii="宋体" w:hAnsi="宋体" w:eastAsia="宋体" w:cs="宋体"/>
          <w:color w:val="auto"/>
          <w:sz w:val="30"/>
          <w:szCs w:val="30"/>
          <w:highlight w:val="none"/>
          <w:u w:val="single" w:color="auto"/>
        </w:rPr>
        <w:t xml:space="preserve">    </w:t>
      </w:r>
      <w:r>
        <w:rPr>
          <w:rFonts w:ascii="宋体" w:hAnsi="宋体" w:eastAsia="宋体" w:cs="宋体"/>
          <w:color w:val="auto"/>
          <w:spacing w:val="-134"/>
          <w:sz w:val="30"/>
          <w:szCs w:val="30"/>
          <w:highlight w:val="none"/>
        </w:rPr>
        <w:t xml:space="preserve"> </w:t>
      </w:r>
      <w:r>
        <w:rPr>
          <w:rFonts w:ascii="宋体" w:hAnsi="宋体" w:eastAsia="宋体" w:cs="宋体"/>
          <w:b/>
          <w:bCs/>
          <w:color w:val="auto"/>
          <w:spacing w:val="-19"/>
          <w:sz w:val="30"/>
          <w:szCs w:val="30"/>
          <w:highlight w:val="none"/>
        </w:rPr>
        <w:t>年</w:t>
      </w:r>
      <w:r>
        <w:rPr>
          <w:rFonts w:ascii="宋体" w:hAnsi="宋体" w:eastAsia="宋体" w:cs="宋体"/>
          <w:color w:val="auto"/>
          <w:spacing w:val="-148"/>
          <w:sz w:val="30"/>
          <w:szCs w:val="30"/>
          <w:highlight w:val="none"/>
        </w:rPr>
        <w:t xml:space="preserve"> </w:t>
      </w:r>
      <w:r>
        <w:rPr>
          <w:rFonts w:ascii="宋体" w:hAnsi="宋体" w:eastAsia="宋体" w:cs="宋体"/>
          <w:color w:val="auto"/>
          <w:sz w:val="30"/>
          <w:szCs w:val="30"/>
          <w:highlight w:val="none"/>
          <w:u w:val="single" w:color="auto"/>
        </w:rPr>
        <w:t xml:space="preserve">     </w:t>
      </w:r>
      <w:r>
        <w:rPr>
          <w:rFonts w:ascii="宋体" w:hAnsi="宋体" w:eastAsia="宋体" w:cs="宋体"/>
          <w:color w:val="auto"/>
          <w:spacing w:val="-129"/>
          <w:sz w:val="30"/>
          <w:szCs w:val="30"/>
          <w:highlight w:val="none"/>
        </w:rPr>
        <w:t xml:space="preserve"> </w:t>
      </w:r>
      <w:r>
        <w:rPr>
          <w:rFonts w:ascii="宋体" w:hAnsi="宋体" w:eastAsia="宋体" w:cs="宋体"/>
          <w:b/>
          <w:bCs/>
          <w:color w:val="auto"/>
          <w:spacing w:val="-19"/>
          <w:sz w:val="30"/>
          <w:szCs w:val="30"/>
          <w:highlight w:val="none"/>
        </w:rPr>
        <w:t>月</w:t>
      </w:r>
      <w:r>
        <w:rPr>
          <w:rFonts w:ascii="宋体" w:hAnsi="宋体" w:eastAsia="宋体" w:cs="宋体"/>
          <w:color w:val="auto"/>
          <w:spacing w:val="-148"/>
          <w:sz w:val="30"/>
          <w:szCs w:val="30"/>
          <w:highlight w:val="none"/>
        </w:rPr>
        <w:t xml:space="preserve"> </w:t>
      </w:r>
      <w:r>
        <w:rPr>
          <w:rFonts w:ascii="宋体" w:hAnsi="宋体" w:eastAsia="宋体" w:cs="宋体"/>
          <w:color w:val="auto"/>
          <w:sz w:val="30"/>
          <w:szCs w:val="30"/>
          <w:highlight w:val="none"/>
          <w:u w:val="single" w:color="auto"/>
        </w:rPr>
        <w:t xml:space="preserve">    </w:t>
      </w:r>
      <w:r>
        <w:rPr>
          <w:rFonts w:ascii="宋体" w:hAnsi="宋体" w:eastAsia="宋体" w:cs="宋体"/>
          <w:color w:val="auto"/>
          <w:spacing w:val="-84"/>
          <w:sz w:val="30"/>
          <w:szCs w:val="30"/>
          <w:highlight w:val="none"/>
        </w:rPr>
        <w:t xml:space="preserve"> </w:t>
      </w:r>
      <w:r>
        <w:rPr>
          <w:rFonts w:ascii="宋体" w:hAnsi="宋体" w:eastAsia="宋体" w:cs="宋体"/>
          <w:b/>
          <w:bCs/>
          <w:color w:val="auto"/>
          <w:spacing w:val="-19"/>
          <w:sz w:val="30"/>
          <w:szCs w:val="30"/>
          <w:highlight w:val="none"/>
        </w:rPr>
        <w:t>日</w:t>
      </w:r>
    </w:p>
    <w:p w14:paraId="16771BAF">
      <w:pPr>
        <w:spacing w:line="219" w:lineRule="auto"/>
        <w:rPr>
          <w:rFonts w:ascii="宋体" w:hAnsi="宋体" w:eastAsia="宋体" w:cs="宋体"/>
          <w:color w:val="auto"/>
          <w:sz w:val="30"/>
          <w:szCs w:val="30"/>
          <w:highlight w:val="none"/>
        </w:rPr>
        <w:sectPr>
          <w:headerReference r:id="rId7" w:type="default"/>
          <w:footerReference r:id="rId8" w:type="default"/>
          <w:pgSz w:w="11906" w:h="16839"/>
          <w:pgMar w:top="1431" w:right="1417" w:bottom="917" w:left="1418" w:header="0" w:footer="644" w:gutter="0"/>
          <w:pgNumType w:fmt="decimal"/>
          <w:cols w:space="720" w:num="1"/>
        </w:sectPr>
      </w:pPr>
    </w:p>
    <w:p w14:paraId="111DB225">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0D08A228">
      <w:pPr>
        <w:numPr>
          <w:ilvl w:val="0"/>
          <w:numId w:val="6"/>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72197CBF">
      <w:pPr>
        <w:numPr>
          <w:ilvl w:val="0"/>
          <w:numId w:val="6"/>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3C2B54FB">
      <w:pPr>
        <w:numPr>
          <w:ilvl w:val="0"/>
          <w:numId w:val="6"/>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4A04B413">
      <w:pPr>
        <w:numPr>
          <w:ilvl w:val="0"/>
          <w:numId w:val="6"/>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7C9172D3">
      <w:pPr>
        <w:numPr>
          <w:ilvl w:val="0"/>
          <w:numId w:val="6"/>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供货及安装调试方案</w:t>
      </w:r>
    </w:p>
    <w:p w14:paraId="1EBAA937">
      <w:pPr>
        <w:numPr>
          <w:ilvl w:val="0"/>
          <w:numId w:val="6"/>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492CD328">
      <w:pPr>
        <w:numPr>
          <w:ilvl w:val="0"/>
          <w:numId w:val="6"/>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5133B3F6">
      <w:pPr>
        <w:numPr>
          <w:ilvl w:val="0"/>
          <w:numId w:val="6"/>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45B75179">
      <w:pPr>
        <w:numPr>
          <w:ilvl w:val="0"/>
          <w:numId w:val="6"/>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2CDA91FD">
      <w:pPr>
        <w:numPr>
          <w:ilvl w:val="0"/>
          <w:numId w:val="6"/>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2E680144">
      <w:pPr>
        <w:numPr>
          <w:ilvl w:val="0"/>
          <w:numId w:val="6"/>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41F6FE86">
      <w:pPr>
        <w:pStyle w:val="74"/>
        <w:rPr>
          <w:rFonts w:hint="default"/>
          <w:color w:val="auto"/>
          <w:highlight w:val="none"/>
          <w:lang w:val="en-US" w:eastAsia="zh-CN"/>
        </w:rPr>
      </w:pPr>
    </w:p>
    <w:p w14:paraId="62313C04">
      <w:pPr>
        <w:spacing w:line="480" w:lineRule="auto"/>
        <w:ind w:firstLine="480" w:firstLineChars="200"/>
        <w:rPr>
          <w:rFonts w:ascii="宋体" w:hAnsi="宋体" w:cs="宋体"/>
          <w:color w:val="auto"/>
          <w:sz w:val="24"/>
          <w:highlight w:val="none"/>
        </w:rPr>
      </w:pPr>
    </w:p>
    <w:p w14:paraId="23442513">
      <w:pPr>
        <w:spacing w:line="480" w:lineRule="auto"/>
        <w:ind w:firstLine="480" w:firstLineChars="200"/>
        <w:rPr>
          <w:rFonts w:ascii="宋体" w:cs="宋体"/>
          <w:color w:val="auto"/>
          <w:sz w:val="24"/>
          <w:highlight w:val="none"/>
        </w:rPr>
      </w:pPr>
    </w:p>
    <w:p w14:paraId="6519038A">
      <w:pPr>
        <w:spacing w:line="360" w:lineRule="auto"/>
        <w:ind w:firstLine="480" w:firstLineChars="200"/>
        <w:rPr>
          <w:rFonts w:ascii="宋体" w:cs="宋体"/>
          <w:color w:val="auto"/>
          <w:sz w:val="24"/>
          <w:highlight w:val="none"/>
        </w:rPr>
      </w:pPr>
    </w:p>
    <w:p w14:paraId="40D063DF">
      <w:pPr>
        <w:widowControl/>
        <w:jc w:val="left"/>
        <w:rPr>
          <w:rFonts w:ascii="宋体" w:cs="宋体"/>
          <w:color w:val="auto"/>
          <w:sz w:val="24"/>
          <w:highlight w:val="none"/>
        </w:rPr>
      </w:pPr>
      <w:r>
        <w:rPr>
          <w:rFonts w:ascii="宋体" w:cs="宋体"/>
          <w:color w:val="auto"/>
          <w:sz w:val="24"/>
          <w:highlight w:val="none"/>
        </w:rPr>
        <w:br w:type="page"/>
      </w:r>
    </w:p>
    <w:p w14:paraId="7955B96E">
      <w:pPr>
        <w:pStyle w:val="8"/>
        <w:jc w:val="center"/>
        <w:rPr>
          <w:rFonts w:cs="宋体"/>
          <w:color w:val="auto"/>
          <w:sz w:val="28"/>
          <w:szCs w:val="28"/>
          <w:highlight w:val="none"/>
        </w:rPr>
      </w:pPr>
      <w:bookmarkStart w:id="409" w:name="_Toc476584433"/>
      <w:bookmarkStart w:id="410" w:name="_Toc54941342"/>
      <w:bookmarkStart w:id="411" w:name="_Toc17606"/>
      <w:bookmarkStart w:id="412" w:name="_Toc12421"/>
      <w:r>
        <w:rPr>
          <w:rFonts w:hint="eastAsia" w:cs="宋体"/>
          <w:color w:val="auto"/>
          <w:sz w:val="28"/>
          <w:szCs w:val="28"/>
          <w:highlight w:val="none"/>
        </w:rPr>
        <w:t>一、磋商响应函</w:t>
      </w:r>
      <w:bookmarkEnd w:id="409"/>
      <w:bookmarkEnd w:id="410"/>
      <w:bookmarkEnd w:id="411"/>
      <w:bookmarkEnd w:id="412"/>
    </w:p>
    <w:p w14:paraId="350189D3">
      <w:pPr>
        <w:pStyle w:val="33"/>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76889445">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413"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413"/>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2518683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0E5FEDAB">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6DD2C9C6">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70F60BD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266A4E3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557B1DD7">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74084BB1">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39342E58">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17638F2E">
      <w:pPr>
        <w:spacing w:line="360" w:lineRule="auto"/>
        <w:ind w:firstLine="480" w:firstLineChars="200"/>
        <w:rPr>
          <w:rFonts w:ascii="宋体" w:hAnsi="宋体" w:eastAsia="宋体"/>
          <w:color w:val="auto"/>
          <w:sz w:val="24"/>
          <w:highlight w:val="none"/>
        </w:rPr>
      </w:pPr>
    </w:p>
    <w:p w14:paraId="7378478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6887F43B">
      <w:pPr>
        <w:pStyle w:val="30"/>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1B25053">
      <w:pPr>
        <w:pStyle w:val="8"/>
        <w:numPr>
          <w:ilvl w:val="0"/>
          <w:numId w:val="7"/>
        </w:numPr>
        <w:jc w:val="center"/>
        <w:rPr>
          <w:rFonts w:cs="宋体"/>
          <w:color w:val="auto"/>
          <w:sz w:val="28"/>
          <w:szCs w:val="28"/>
          <w:highlight w:val="none"/>
        </w:rPr>
      </w:pPr>
      <w:bookmarkStart w:id="414" w:name="_Toc476584434"/>
      <w:bookmarkStart w:id="415" w:name="_Toc23199"/>
      <w:bookmarkStart w:id="416" w:name="_Toc14523"/>
      <w:bookmarkStart w:id="417" w:name="_Toc28034"/>
      <w:bookmarkStart w:id="418" w:name="_Toc54941343"/>
      <w:bookmarkStart w:id="419" w:name="_Toc27341"/>
      <w:bookmarkStart w:id="420" w:name="_Toc388283751"/>
      <w:r>
        <w:rPr>
          <w:rFonts w:hint="eastAsia" w:cs="宋体"/>
          <w:color w:val="auto"/>
          <w:sz w:val="28"/>
          <w:szCs w:val="28"/>
          <w:highlight w:val="none"/>
        </w:rPr>
        <w:t>报价表</w:t>
      </w:r>
      <w:bookmarkEnd w:id="414"/>
      <w:bookmarkEnd w:id="415"/>
      <w:bookmarkEnd w:id="416"/>
      <w:bookmarkEnd w:id="417"/>
      <w:bookmarkEnd w:id="418"/>
    </w:p>
    <w:p w14:paraId="5E52AD0D">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361FF5D7">
      <w:pPr>
        <w:snapToGrid w:val="0"/>
        <w:spacing w:line="360" w:lineRule="auto"/>
        <w:jc w:val="left"/>
        <w:rPr>
          <w:rFonts w:hint="eastAsia" w:ascii="宋体" w:hAnsi="宋体" w:eastAsia="宋体"/>
          <w:b/>
          <w:color w:val="auto"/>
          <w:sz w:val="24"/>
          <w:szCs w:val="28"/>
          <w:highlight w:val="none"/>
        </w:rPr>
      </w:pPr>
    </w:p>
    <w:p w14:paraId="1795E13D">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某项目       </w:t>
      </w:r>
    </w:p>
    <w:p w14:paraId="0122AE53">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某编号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5B4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08846D35">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277276C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21A0A150">
            <w:pPr>
              <w:snapToGrid w:val="0"/>
              <w:spacing w:line="360" w:lineRule="auto"/>
              <w:jc w:val="center"/>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人民币小写：</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bCs/>
                <w:color w:val="auto"/>
                <w:sz w:val="28"/>
                <w:szCs w:val="28"/>
                <w:highlight w:val="none"/>
              </w:rPr>
              <w:t>元</w:t>
            </w:r>
          </w:p>
        </w:tc>
      </w:tr>
      <w:tr w14:paraId="0CD2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6BE7B302">
            <w:pPr>
              <w:spacing w:line="360" w:lineRule="auto"/>
              <w:jc w:val="center"/>
              <w:rPr>
                <w:rFonts w:ascii="宋体" w:hAnsi="宋体" w:eastAsia="宋体"/>
                <w:b/>
                <w:color w:val="auto"/>
                <w:sz w:val="24"/>
                <w:highlight w:val="none"/>
              </w:rPr>
            </w:pPr>
          </w:p>
        </w:tc>
        <w:tc>
          <w:tcPr>
            <w:tcW w:w="3556" w:type="pct"/>
            <w:vAlign w:val="center"/>
          </w:tcPr>
          <w:p w14:paraId="4BD2FCD1">
            <w:pPr>
              <w:snapToGrid w:val="0"/>
              <w:spacing w:line="360" w:lineRule="auto"/>
              <w:jc w:val="center"/>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人民币大写：</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
                <w:bCs/>
                <w:color w:val="auto"/>
                <w:sz w:val="28"/>
                <w:szCs w:val="28"/>
                <w:highlight w:val="none"/>
              </w:rPr>
              <w:t>元</w:t>
            </w:r>
          </w:p>
        </w:tc>
      </w:tr>
      <w:tr w14:paraId="7421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062BA901">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3AD4815B">
            <w:pPr>
              <w:spacing w:line="360" w:lineRule="auto"/>
              <w:rPr>
                <w:rFonts w:ascii="宋体" w:hAnsi="宋体" w:eastAsia="宋体"/>
                <w:b/>
                <w:color w:val="auto"/>
                <w:sz w:val="24"/>
                <w:highlight w:val="none"/>
              </w:rPr>
            </w:pPr>
          </w:p>
        </w:tc>
      </w:tr>
    </w:tbl>
    <w:p w14:paraId="1579DD97">
      <w:pPr>
        <w:spacing w:line="440" w:lineRule="exact"/>
        <w:ind w:firstLine="4800" w:firstLineChars="2000"/>
        <w:rPr>
          <w:rFonts w:hint="eastAsia" w:ascii="宋体" w:hAnsi="宋体" w:eastAsia="宋体"/>
          <w:color w:val="auto"/>
          <w:sz w:val="24"/>
          <w:szCs w:val="24"/>
          <w:highlight w:val="none"/>
        </w:rPr>
      </w:pPr>
    </w:p>
    <w:p w14:paraId="39D608F9">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供应商签章：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650E80B8">
      <w:pPr>
        <w:spacing w:line="440" w:lineRule="exact"/>
        <w:ind w:firstLine="4800" w:firstLineChars="2000"/>
        <w:rPr>
          <w:rFonts w:hint="eastAsia" w:ascii="宋体" w:hAnsi="宋体" w:eastAsia="宋体"/>
          <w:color w:val="auto"/>
          <w:sz w:val="24"/>
          <w:szCs w:val="24"/>
          <w:highlight w:val="none"/>
        </w:rPr>
      </w:pPr>
    </w:p>
    <w:p w14:paraId="17A8A5FC">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703F9741">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3990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459FE6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518009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048BEB0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0430EF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3D851F2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700D578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4CB5DB7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6838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3AFDD114">
            <w:pPr>
              <w:spacing w:line="360" w:lineRule="auto"/>
              <w:jc w:val="center"/>
              <w:rPr>
                <w:rFonts w:ascii="宋体" w:hAnsi="宋体" w:cs="宋体"/>
                <w:color w:val="auto"/>
                <w:spacing w:val="-4"/>
                <w:szCs w:val="21"/>
                <w:highlight w:val="none"/>
              </w:rPr>
            </w:pPr>
          </w:p>
        </w:tc>
        <w:tc>
          <w:tcPr>
            <w:tcW w:w="1275" w:type="dxa"/>
            <w:vAlign w:val="center"/>
          </w:tcPr>
          <w:p w14:paraId="20F6070F">
            <w:pPr>
              <w:spacing w:line="360" w:lineRule="auto"/>
              <w:jc w:val="center"/>
              <w:rPr>
                <w:rFonts w:ascii="宋体" w:hAnsi="宋体" w:cs="宋体"/>
                <w:color w:val="auto"/>
                <w:szCs w:val="21"/>
                <w:highlight w:val="none"/>
              </w:rPr>
            </w:pPr>
          </w:p>
        </w:tc>
        <w:tc>
          <w:tcPr>
            <w:tcW w:w="2505" w:type="dxa"/>
            <w:vAlign w:val="center"/>
          </w:tcPr>
          <w:p w14:paraId="5DA0A21A">
            <w:pPr>
              <w:spacing w:line="360" w:lineRule="auto"/>
              <w:jc w:val="center"/>
              <w:rPr>
                <w:rFonts w:ascii="宋体" w:hAnsi="宋体" w:cs="宋体"/>
                <w:color w:val="auto"/>
                <w:szCs w:val="21"/>
                <w:highlight w:val="none"/>
              </w:rPr>
            </w:pPr>
          </w:p>
        </w:tc>
        <w:tc>
          <w:tcPr>
            <w:tcW w:w="795" w:type="dxa"/>
            <w:vAlign w:val="center"/>
          </w:tcPr>
          <w:p w14:paraId="5D316140">
            <w:pPr>
              <w:spacing w:line="360" w:lineRule="auto"/>
              <w:jc w:val="center"/>
              <w:rPr>
                <w:rFonts w:ascii="宋体" w:hAnsi="宋体" w:cs="宋体"/>
                <w:color w:val="auto"/>
                <w:szCs w:val="21"/>
                <w:highlight w:val="none"/>
              </w:rPr>
            </w:pPr>
          </w:p>
        </w:tc>
        <w:tc>
          <w:tcPr>
            <w:tcW w:w="675" w:type="dxa"/>
            <w:vAlign w:val="center"/>
          </w:tcPr>
          <w:p w14:paraId="2C3473D3">
            <w:pPr>
              <w:spacing w:line="360" w:lineRule="auto"/>
              <w:jc w:val="center"/>
              <w:rPr>
                <w:rFonts w:ascii="宋体" w:hAnsi="宋体" w:cs="宋体"/>
                <w:color w:val="auto"/>
                <w:szCs w:val="21"/>
                <w:highlight w:val="none"/>
              </w:rPr>
            </w:pPr>
          </w:p>
        </w:tc>
        <w:tc>
          <w:tcPr>
            <w:tcW w:w="1107" w:type="dxa"/>
            <w:vAlign w:val="center"/>
          </w:tcPr>
          <w:p w14:paraId="691B2F03">
            <w:pPr>
              <w:spacing w:line="360" w:lineRule="auto"/>
              <w:jc w:val="center"/>
              <w:rPr>
                <w:rFonts w:ascii="宋体" w:hAnsi="宋体" w:cs="宋体"/>
                <w:color w:val="auto"/>
                <w:szCs w:val="21"/>
                <w:highlight w:val="none"/>
              </w:rPr>
            </w:pPr>
          </w:p>
        </w:tc>
        <w:tc>
          <w:tcPr>
            <w:tcW w:w="1228" w:type="dxa"/>
            <w:vAlign w:val="center"/>
          </w:tcPr>
          <w:p w14:paraId="2E9B2394">
            <w:pPr>
              <w:spacing w:line="360" w:lineRule="auto"/>
              <w:jc w:val="center"/>
              <w:rPr>
                <w:rFonts w:ascii="宋体" w:hAnsi="宋体" w:cs="宋体"/>
                <w:color w:val="auto"/>
                <w:szCs w:val="21"/>
                <w:highlight w:val="none"/>
              </w:rPr>
            </w:pPr>
          </w:p>
        </w:tc>
      </w:tr>
      <w:tr w14:paraId="7F59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01908DF">
            <w:pPr>
              <w:spacing w:line="360" w:lineRule="auto"/>
              <w:jc w:val="center"/>
              <w:rPr>
                <w:rFonts w:ascii="宋体" w:hAnsi="宋体" w:cs="宋体"/>
                <w:color w:val="auto"/>
                <w:spacing w:val="-4"/>
                <w:szCs w:val="21"/>
                <w:highlight w:val="none"/>
              </w:rPr>
            </w:pPr>
          </w:p>
        </w:tc>
        <w:tc>
          <w:tcPr>
            <w:tcW w:w="1275" w:type="dxa"/>
            <w:vAlign w:val="center"/>
          </w:tcPr>
          <w:p w14:paraId="7155FEA8">
            <w:pPr>
              <w:spacing w:line="360" w:lineRule="auto"/>
              <w:jc w:val="center"/>
              <w:rPr>
                <w:rFonts w:ascii="宋体" w:hAnsi="宋体" w:cs="宋体"/>
                <w:color w:val="auto"/>
                <w:szCs w:val="21"/>
                <w:highlight w:val="none"/>
              </w:rPr>
            </w:pPr>
          </w:p>
        </w:tc>
        <w:tc>
          <w:tcPr>
            <w:tcW w:w="2505" w:type="dxa"/>
            <w:vAlign w:val="center"/>
          </w:tcPr>
          <w:p w14:paraId="727BF016">
            <w:pPr>
              <w:spacing w:line="360" w:lineRule="auto"/>
              <w:jc w:val="center"/>
              <w:rPr>
                <w:rFonts w:ascii="宋体" w:hAnsi="宋体" w:cs="宋体"/>
                <w:color w:val="auto"/>
                <w:szCs w:val="21"/>
                <w:highlight w:val="none"/>
              </w:rPr>
            </w:pPr>
          </w:p>
        </w:tc>
        <w:tc>
          <w:tcPr>
            <w:tcW w:w="795" w:type="dxa"/>
            <w:vAlign w:val="center"/>
          </w:tcPr>
          <w:p w14:paraId="75DEB06E">
            <w:pPr>
              <w:spacing w:line="360" w:lineRule="auto"/>
              <w:jc w:val="center"/>
              <w:rPr>
                <w:rFonts w:ascii="宋体" w:hAnsi="宋体" w:cs="宋体"/>
                <w:color w:val="auto"/>
                <w:szCs w:val="21"/>
                <w:highlight w:val="none"/>
              </w:rPr>
            </w:pPr>
          </w:p>
        </w:tc>
        <w:tc>
          <w:tcPr>
            <w:tcW w:w="675" w:type="dxa"/>
            <w:vAlign w:val="center"/>
          </w:tcPr>
          <w:p w14:paraId="075A5932">
            <w:pPr>
              <w:spacing w:line="360" w:lineRule="auto"/>
              <w:jc w:val="center"/>
              <w:rPr>
                <w:rFonts w:ascii="宋体" w:hAnsi="宋体" w:cs="宋体"/>
                <w:color w:val="auto"/>
                <w:szCs w:val="21"/>
                <w:highlight w:val="none"/>
              </w:rPr>
            </w:pPr>
          </w:p>
        </w:tc>
        <w:tc>
          <w:tcPr>
            <w:tcW w:w="1107" w:type="dxa"/>
            <w:vAlign w:val="center"/>
          </w:tcPr>
          <w:p w14:paraId="35E1E9FC">
            <w:pPr>
              <w:spacing w:line="360" w:lineRule="auto"/>
              <w:jc w:val="center"/>
              <w:rPr>
                <w:rFonts w:ascii="宋体" w:hAnsi="宋体" w:cs="宋体"/>
                <w:color w:val="auto"/>
                <w:szCs w:val="21"/>
                <w:highlight w:val="none"/>
              </w:rPr>
            </w:pPr>
          </w:p>
        </w:tc>
        <w:tc>
          <w:tcPr>
            <w:tcW w:w="1228" w:type="dxa"/>
            <w:vAlign w:val="center"/>
          </w:tcPr>
          <w:p w14:paraId="7E6689F1">
            <w:pPr>
              <w:spacing w:line="360" w:lineRule="auto"/>
              <w:jc w:val="center"/>
              <w:rPr>
                <w:rFonts w:ascii="宋体" w:hAnsi="宋体" w:cs="宋体"/>
                <w:color w:val="auto"/>
                <w:szCs w:val="21"/>
                <w:highlight w:val="none"/>
              </w:rPr>
            </w:pPr>
          </w:p>
        </w:tc>
      </w:tr>
      <w:tr w14:paraId="09A1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31CE178D">
            <w:pPr>
              <w:spacing w:line="360" w:lineRule="auto"/>
              <w:jc w:val="center"/>
              <w:rPr>
                <w:rFonts w:ascii="宋体" w:hAnsi="宋体" w:cs="宋体"/>
                <w:color w:val="auto"/>
                <w:spacing w:val="-4"/>
                <w:szCs w:val="21"/>
                <w:highlight w:val="none"/>
              </w:rPr>
            </w:pPr>
          </w:p>
        </w:tc>
        <w:tc>
          <w:tcPr>
            <w:tcW w:w="1275" w:type="dxa"/>
            <w:vAlign w:val="center"/>
          </w:tcPr>
          <w:p w14:paraId="3AB65F4E">
            <w:pPr>
              <w:spacing w:line="360" w:lineRule="auto"/>
              <w:jc w:val="center"/>
              <w:rPr>
                <w:rFonts w:ascii="宋体" w:hAnsi="宋体" w:cs="宋体"/>
                <w:color w:val="auto"/>
                <w:szCs w:val="21"/>
                <w:highlight w:val="none"/>
              </w:rPr>
            </w:pPr>
          </w:p>
        </w:tc>
        <w:tc>
          <w:tcPr>
            <w:tcW w:w="2505" w:type="dxa"/>
            <w:vAlign w:val="center"/>
          </w:tcPr>
          <w:p w14:paraId="794D76F1">
            <w:pPr>
              <w:spacing w:line="360" w:lineRule="auto"/>
              <w:jc w:val="center"/>
              <w:rPr>
                <w:rFonts w:ascii="宋体" w:hAnsi="宋体" w:cs="宋体"/>
                <w:color w:val="auto"/>
                <w:szCs w:val="21"/>
                <w:highlight w:val="none"/>
              </w:rPr>
            </w:pPr>
          </w:p>
        </w:tc>
        <w:tc>
          <w:tcPr>
            <w:tcW w:w="795" w:type="dxa"/>
            <w:vAlign w:val="center"/>
          </w:tcPr>
          <w:p w14:paraId="37D280D6">
            <w:pPr>
              <w:spacing w:line="360" w:lineRule="auto"/>
              <w:jc w:val="center"/>
              <w:rPr>
                <w:rFonts w:ascii="宋体" w:hAnsi="宋体" w:cs="宋体"/>
                <w:color w:val="auto"/>
                <w:szCs w:val="21"/>
                <w:highlight w:val="none"/>
              </w:rPr>
            </w:pPr>
          </w:p>
        </w:tc>
        <w:tc>
          <w:tcPr>
            <w:tcW w:w="675" w:type="dxa"/>
            <w:vAlign w:val="center"/>
          </w:tcPr>
          <w:p w14:paraId="4C2BAA07">
            <w:pPr>
              <w:spacing w:line="360" w:lineRule="auto"/>
              <w:jc w:val="center"/>
              <w:rPr>
                <w:rFonts w:ascii="宋体" w:hAnsi="宋体" w:cs="宋体"/>
                <w:color w:val="auto"/>
                <w:szCs w:val="21"/>
                <w:highlight w:val="none"/>
              </w:rPr>
            </w:pPr>
          </w:p>
        </w:tc>
        <w:tc>
          <w:tcPr>
            <w:tcW w:w="1107" w:type="dxa"/>
            <w:vAlign w:val="center"/>
          </w:tcPr>
          <w:p w14:paraId="4215FBED">
            <w:pPr>
              <w:spacing w:line="360" w:lineRule="auto"/>
              <w:jc w:val="center"/>
              <w:rPr>
                <w:rFonts w:ascii="宋体" w:hAnsi="宋体" w:cs="宋体"/>
                <w:color w:val="auto"/>
                <w:szCs w:val="21"/>
                <w:highlight w:val="none"/>
              </w:rPr>
            </w:pPr>
          </w:p>
        </w:tc>
        <w:tc>
          <w:tcPr>
            <w:tcW w:w="1228" w:type="dxa"/>
            <w:vAlign w:val="center"/>
          </w:tcPr>
          <w:p w14:paraId="34358B93">
            <w:pPr>
              <w:spacing w:line="360" w:lineRule="auto"/>
              <w:jc w:val="center"/>
              <w:rPr>
                <w:rFonts w:ascii="宋体" w:hAnsi="宋体" w:cs="宋体"/>
                <w:color w:val="auto"/>
                <w:szCs w:val="21"/>
                <w:highlight w:val="none"/>
              </w:rPr>
            </w:pPr>
          </w:p>
        </w:tc>
      </w:tr>
      <w:tr w14:paraId="329C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1D044932">
            <w:pPr>
              <w:spacing w:line="360" w:lineRule="auto"/>
              <w:jc w:val="center"/>
              <w:rPr>
                <w:rFonts w:ascii="宋体" w:hAnsi="宋体" w:cs="宋体"/>
                <w:color w:val="auto"/>
                <w:spacing w:val="-4"/>
                <w:szCs w:val="21"/>
                <w:highlight w:val="none"/>
              </w:rPr>
            </w:pPr>
          </w:p>
        </w:tc>
        <w:tc>
          <w:tcPr>
            <w:tcW w:w="1275" w:type="dxa"/>
            <w:vAlign w:val="center"/>
          </w:tcPr>
          <w:p w14:paraId="53C19882">
            <w:pPr>
              <w:spacing w:line="360" w:lineRule="auto"/>
              <w:jc w:val="center"/>
              <w:rPr>
                <w:rFonts w:ascii="宋体" w:hAnsi="宋体" w:cs="宋体"/>
                <w:color w:val="auto"/>
                <w:szCs w:val="21"/>
                <w:highlight w:val="none"/>
              </w:rPr>
            </w:pPr>
          </w:p>
        </w:tc>
        <w:tc>
          <w:tcPr>
            <w:tcW w:w="2505" w:type="dxa"/>
            <w:vAlign w:val="center"/>
          </w:tcPr>
          <w:p w14:paraId="6A2AA757">
            <w:pPr>
              <w:spacing w:line="360" w:lineRule="auto"/>
              <w:jc w:val="center"/>
              <w:rPr>
                <w:rFonts w:ascii="宋体" w:hAnsi="宋体" w:cs="宋体"/>
                <w:color w:val="auto"/>
                <w:szCs w:val="21"/>
                <w:highlight w:val="none"/>
              </w:rPr>
            </w:pPr>
          </w:p>
        </w:tc>
        <w:tc>
          <w:tcPr>
            <w:tcW w:w="795" w:type="dxa"/>
            <w:vAlign w:val="center"/>
          </w:tcPr>
          <w:p w14:paraId="4A7329C0">
            <w:pPr>
              <w:spacing w:line="360" w:lineRule="auto"/>
              <w:jc w:val="center"/>
              <w:rPr>
                <w:rFonts w:ascii="宋体" w:hAnsi="宋体" w:cs="宋体"/>
                <w:color w:val="auto"/>
                <w:szCs w:val="21"/>
                <w:highlight w:val="none"/>
              </w:rPr>
            </w:pPr>
          </w:p>
        </w:tc>
        <w:tc>
          <w:tcPr>
            <w:tcW w:w="675" w:type="dxa"/>
            <w:vAlign w:val="center"/>
          </w:tcPr>
          <w:p w14:paraId="69703A9E">
            <w:pPr>
              <w:spacing w:line="360" w:lineRule="auto"/>
              <w:jc w:val="center"/>
              <w:rPr>
                <w:rFonts w:ascii="宋体" w:hAnsi="宋体" w:cs="宋体"/>
                <w:color w:val="auto"/>
                <w:szCs w:val="21"/>
                <w:highlight w:val="none"/>
              </w:rPr>
            </w:pPr>
          </w:p>
        </w:tc>
        <w:tc>
          <w:tcPr>
            <w:tcW w:w="1107" w:type="dxa"/>
            <w:vAlign w:val="center"/>
          </w:tcPr>
          <w:p w14:paraId="3CE28A73">
            <w:pPr>
              <w:spacing w:line="360" w:lineRule="auto"/>
              <w:jc w:val="center"/>
              <w:rPr>
                <w:rFonts w:ascii="宋体" w:hAnsi="宋体" w:cs="宋体"/>
                <w:color w:val="auto"/>
                <w:szCs w:val="21"/>
                <w:highlight w:val="none"/>
              </w:rPr>
            </w:pPr>
          </w:p>
        </w:tc>
        <w:tc>
          <w:tcPr>
            <w:tcW w:w="1228" w:type="dxa"/>
            <w:vAlign w:val="center"/>
          </w:tcPr>
          <w:p w14:paraId="3E837B12">
            <w:pPr>
              <w:spacing w:line="360" w:lineRule="auto"/>
              <w:jc w:val="center"/>
              <w:rPr>
                <w:rFonts w:ascii="宋体" w:hAnsi="宋体" w:cs="宋体"/>
                <w:color w:val="auto"/>
                <w:szCs w:val="21"/>
                <w:highlight w:val="none"/>
              </w:rPr>
            </w:pPr>
          </w:p>
        </w:tc>
      </w:tr>
      <w:tr w14:paraId="0E296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7D80B8CF">
            <w:pPr>
              <w:spacing w:line="360" w:lineRule="auto"/>
              <w:jc w:val="center"/>
              <w:rPr>
                <w:rFonts w:ascii="宋体" w:hAnsi="宋体" w:cs="宋体"/>
                <w:color w:val="auto"/>
                <w:spacing w:val="-4"/>
                <w:szCs w:val="21"/>
                <w:highlight w:val="none"/>
              </w:rPr>
            </w:pPr>
          </w:p>
        </w:tc>
        <w:tc>
          <w:tcPr>
            <w:tcW w:w="1275" w:type="dxa"/>
            <w:vAlign w:val="center"/>
          </w:tcPr>
          <w:p w14:paraId="54A7FCBD">
            <w:pPr>
              <w:spacing w:line="360" w:lineRule="auto"/>
              <w:jc w:val="center"/>
              <w:rPr>
                <w:rFonts w:ascii="宋体" w:hAnsi="宋体" w:cs="宋体"/>
                <w:color w:val="auto"/>
                <w:szCs w:val="21"/>
                <w:highlight w:val="none"/>
              </w:rPr>
            </w:pPr>
          </w:p>
        </w:tc>
        <w:tc>
          <w:tcPr>
            <w:tcW w:w="2505" w:type="dxa"/>
            <w:vAlign w:val="center"/>
          </w:tcPr>
          <w:p w14:paraId="4B7DB783">
            <w:pPr>
              <w:spacing w:line="360" w:lineRule="auto"/>
              <w:jc w:val="center"/>
              <w:rPr>
                <w:rFonts w:ascii="宋体" w:hAnsi="宋体" w:cs="宋体"/>
                <w:color w:val="auto"/>
                <w:szCs w:val="21"/>
                <w:highlight w:val="none"/>
              </w:rPr>
            </w:pPr>
          </w:p>
        </w:tc>
        <w:tc>
          <w:tcPr>
            <w:tcW w:w="795" w:type="dxa"/>
            <w:vAlign w:val="center"/>
          </w:tcPr>
          <w:p w14:paraId="4F559D5E">
            <w:pPr>
              <w:spacing w:line="360" w:lineRule="auto"/>
              <w:jc w:val="center"/>
              <w:rPr>
                <w:rFonts w:ascii="宋体" w:hAnsi="宋体" w:cs="宋体"/>
                <w:color w:val="auto"/>
                <w:szCs w:val="21"/>
                <w:highlight w:val="none"/>
              </w:rPr>
            </w:pPr>
          </w:p>
        </w:tc>
        <w:tc>
          <w:tcPr>
            <w:tcW w:w="675" w:type="dxa"/>
            <w:vAlign w:val="center"/>
          </w:tcPr>
          <w:p w14:paraId="0A53F52C">
            <w:pPr>
              <w:spacing w:line="360" w:lineRule="auto"/>
              <w:jc w:val="center"/>
              <w:rPr>
                <w:rFonts w:ascii="宋体" w:hAnsi="宋体" w:cs="宋体"/>
                <w:color w:val="auto"/>
                <w:szCs w:val="21"/>
                <w:highlight w:val="none"/>
              </w:rPr>
            </w:pPr>
          </w:p>
        </w:tc>
        <w:tc>
          <w:tcPr>
            <w:tcW w:w="1107" w:type="dxa"/>
            <w:vAlign w:val="center"/>
          </w:tcPr>
          <w:p w14:paraId="3791CD89">
            <w:pPr>
              <w:spacing w:line="360" w:lineRule="auto"/>
              <w:jc w:val="center"/>
              <w:rPr>
                <w:rFonts w:ascii="宋体" w:hAnsi="宋体" w:cs="宋体"/>
                <w:color w:val="auto"/>
                <w:szCs w:val="21"/>
                <w:highlight w:val="none"/>
              </w:rPr>
            </w:pPr>
          </w:p>
        </w:tc>
        <w:tc>
          <w:tcPr>
            <w:tcW w:w="1228" w:type="dxa"/>
            <w:vAlign w:val="center"/>
          </w:tcPr>
          <w:p w14:paraId="18E1324C">
            <w:pPr>
              <w:spacing w:line="360" w:lineRule="auto"/>
              <w:jc w:val="center"/>
              <w:rPr>
                <w:rFonts w:ascii="宋体" w:hAnsi="宋体" w:cs="宋体"/>
                <w:color w:val="auto"/>
                <w:szCs w:val="21"/>
                <w:highlight w:val="none"/>
              </w:rPr>
            </w:pPr>
          </w:p>
        </w:tc>
      </w:tr>
      <w:tr w14:paraId="507C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B966183">
            <w:pPr>
              <w:spacing w:line="360" w:lineRule="auto"/>
              <w:jc w:val="center"/>
              <w:rPr>
                <w:rFonts w:ascii="宋体" w:hAnsi="宋体" w:cs="宋体"/>
                <w:color w:val="auto"/>
                <w:spacing w:val="-4"/>
                <w:szCs w:val="21"/>
                <w:highlight w:val="none"/>
              </w:rPr>
            </w:pPr>
            <w:r>
              <w:rPr>
                <w:rFonts w:hint="eastAsia" w:ascii="宋体" w:hAnsi="宋体" w:cs="宋体"/>
                <w:color w:val="auto"/>
                <w:spacing w:val="-4"/>
                <w:szCs w:val="21"/>
                <w:highlight w:val="none"/>
              </w:rPr>
              <w:t>总价</w:t>
            </w:r>
          </w:p>
        </w:tc>
        <w:tc>
          <w:tcPr>
            <w:tcW w:w="7585" w:type="dxa"/>
            <w:gridSpan w:val="6"/>
            <w:vAlign w:val="center"/>
          </w:tcPr>
          <w:p w14:paraId="0A992885">
            <w:pPr>
              <w:spacing w:line="360" w:lineRule="auto"/>
              <w:rPr>
                <w:rFonts w:ascii="宋体" w:hAnsi="宋体" w:cs="宋体"/>
                <w:color w:val="auto"/>
                <w:szCs w:val="21"/>
                <w:highlight w:val="none"/>
              </w:rPr>
            </w:pPr>
            <w:r>
              <w:rPr>
                <w:rFonts w:hint="eastAsia" w:ascii="宋体" w:hAnsi="宋体" w:cs="宋体"/>
                <w:color w:val="auto"/>
                <w:szCs w:val="21"/>
                <w:highlight w:val="none"/>
              </w:rPr>
              <w:t>小写：           元</w:t>
            </w:r>
          </w:p>
        </w:tc>
      </w:tr>
    </w:tbl>
    <w:p w14:paraId="3415905C">
      <w:pPr>
        <w:pStyle w:val="4"/>
        <w:ind w:firstLine="0"/>
        <w:rPr>
          <w:rFonts w:hAnsi="宋体" w:cs="宋体"/>
          <w:color w:val="auto"/>
          <w:highlight w:val="none"/>
        </w:rPr>
      </w:pPr>
    </w:p>
    <w:p w14:paraId="52FA191D">
      <w:pPr>
        <w:spacing w:line="360" w:lineRule="auto"/>
        <w:rPr>
          <w:rFonts w:ascii="宋体" w:cs="宋体"/>
          <w:color w:val="auto"/>
          <w:szCs w:val="21"/>
          <w:highlight w:val="none"/>
        </w:rPr>
      </w:pPr>
    </w:p>
    <w:p w14:paraId="5E1528C8">
      <w:pPr>
        <w:spacing w:line="360" w:lineRule="auto"/>
        <w:rPr>
          <w:rFonts w:ascii="宋体" w:cs="宋体"/>
          <w:color w:val="auto"/>
          <w:szCs w:val="21"/>
          <w:highlight w:val="none"/>
        </w:rPr>
      </w:pPr>
    </w:p>
    <w:p w14:paraId="25D0301E">
      <w:pPr>
        <w:spacing w:line="360" w:lineRule="auto"/>
        <w:rPr>
          <w:rFonts w:ascii="宋体" w:cs="宋体"/>
          <w:color w:val="auto"/>
          <w:szCs w:val="21"/>
          <w:highlight w:val="none"/>
        </w:rPr>
      </w:pPr>
    </w:p>
    <w:p w14:paraId="0D696A65">
      <w:pPr>
        <w:spacing w:line="360" w:lineRule="auto"/>
        <w:rPr>
          <w:rFonts w:ascii="宋体" w:cs="宋体"/>
          <w:color w:val="auto"/>
          <w:szCs w:val="21"/>
          <w:highlight w:val="none"/>
        </w:rPr>
      </w:pPr>
    </w:p>
    <w:p w14:paraId="72DE43FD">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0381B927">
      <w:pPr>
        <w:pStyle w:val="30"/>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419"/>
    <w:p w14:paraId="0DA3A151">
      <w:pPr>
        <w:pStyle w:val="8"/>
        <w:numPr>
          <w:ilvl w:val="0"/>
          <w:numId w:val="0"/>
        </w:numPr>
        <w:shd w:val="clear" w:color="auto" w:fill="FFFFFF"/>
        <w:jc w:val="center"/>
        <w:rPr>
          <w:rFonts w:hint="eastAsia" w:cs="宋体"/>
          <w:color w:val="auto"/>
          <w:sz w:val="28"/>
          <w:szCs w:val="28"/>
          <w:highlight w:val="none"/>
          <w:lang w:val="en-US" w:eastAsia="zh-CN"/>
        </w:rPr>
      </w:pPr>
      <w:bookmarkStart w:id="421" w:name="_Toc11107"/>
      <w:bookmarkStart w:id="422" w:name="_Toc32647"/>
      <w:bookmarkStart w:id="423" w:name="_Toc28153"/>
      <w:bookmarkStart w:id="424" w:name="_Toc16179"/>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421"/>
      <w:bookmarkEnd w:id="422"/>
      <w:bookmarkEnd w:id="423"/>
      <w:bookmarkEnd w:id="424"/>
    </w:p>
    <w:p w14:paraId="66DBC786">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239A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1CD8155C">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337E84DC">
            <w:pPr>
              <w:pStyle w:val="3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2325314A">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0D28DA85">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56827D3B">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44FB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27627D1">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4D9A8B4B">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0B8630A0">
            <w:pPr>
              <w:jc w:val="center"/>
              <w:rPr>
                <w:rFonts w:asciiTheme="minorEastAsia" w:hAnsiTheme="minorEastAsia" w:eastAsiaTheme="minorEastAsia"/>
                <w:color w:val="auto"/>
                <w:sz w:val="24"/>
                <w:highlight w:val="none"/>
              </w:rPr>
            </w:pPr>
          </w:p>
        </w:tc>
        <w:tc>
          <w:tcPr>
            <w:tcW w:w="2347" w:type="dxa"/>
            <w:vAlign w:val="center"/>
          </w:tcPr>
          <w:p w14:paraId="6F4AA792">
            <w:pPr>
              <w:jc w:val="center"/>
              <w:rPr>
                <w:rFonts w:asciiTheme="minorEastAsia" w:hAnsiTheme="minorEastAsia" w:eastAsiaTheme="minorEastAsia"/>
                <w:color w:val="auto"/>
                <w:sz w:val="24"/>
                <w:highlight w:val="none"/>
              </w:rPr>
            </w:pPr>
          </w:p>
        </w:tc>
        <w:tc>
          <w:tcPr>
            <w:tcW w:w="1235" w:type="dxa"/>
            <w:vAlign w:val="center"/>
          </w:tcPr>
          <w:p w14:paraId="5517EC11">
            <w:pPr>
              <w:jc w:val="center"/>
              <w:rPr>
                <w:rFonts w:asciiTheme="minorEastAsia" w:hAnsiTheme="minorEastAsia" w:eastAsiaTheme="minorEastAsia"/>
                <w:color w:val="auto"/>
                <w:sz w:val="24"/>
                <w:highlight w:val="none"/>
              </w:rPr>
            </w:pPr>
          </w:p>
        </w:tc>
      </w:tr>
      <w:tr w14:paraId="76AA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61FB96B">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36F6663C">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1E0A88CC">
            <w:pPr>
              <w:jc w:val="center"/>
              <w:rPr>
                <w:rFonts w:asciiTheme="minorEastAsia" w:hAnsiTheme="minorEastAsia" w:eastAsiaTheme="minorEastAsia"/>
                <w:color w:val="auto"/>
                <w:sz w:val="24"/>
                <w:highlight w:val="none"/>
              </w:rPr>
            </w:pPr>
          </w:p>
        </w:tc>
        <w:tc>
          <w:tcPr>
            <w:tcW w:w="2347" w:type="dxa"/>
            <w:vAlign w:val="center"/>
          </w:tcPr>
          <w:p w14:paraId="4A918F94">
            <w:pPr>
              <w:jc w:val="center"/>
              <w:rPr>
                <w:rFonts w:asciiTheme="minorEastAsia" w:hAnsiTheme="minorEastAsia" w:eastAsiaTheme="minorEastAsia"/>
                <w:color w:val="auto"/>
                <w:sz w:val="24"/>
                <w:highlight w:val="none"/>
              </w:rPr>
            </w:pPr>
          </w:p>
        </w:tc>
        <w:tc>
          <w:tcPr>
            <w:tcW w:w="1235" w:type="dxa"/>
            <w:vAlign w:val="center"/>
          </w:tcPr>
          <w:p w14:paraId="46CC901A">
            <w:pPr>
              <w:jc w:val="center"/>
              <w:rPr>
                <w:rFonts w:asciiTheme="minorEastAsia" w:hAnsiTheme="minorEastAsia" w:eastAsiaTheme="minorEastAsia"/>
                <w:color w:val="auto"/>
                <w:sz w:val="24"/>
                <w:highlight w:val="none"/>
              </w:rPr>
            </w:pPr>
          </w:p>
        </w:tc>
      </w:tr>
      <w:tr w14:paraId="19B7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366F7BA">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39A51B5D">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7CB82CE0">
            <w:pPr>
              <w:jc w:val="center"/>
              <w:rPr>
                <w:rFonts w:asciiTheme="minorEastAsia" w:hAnsiTheme="minorEastAsia" w:eastAsiaTheme="minorEastAsia"/>
                <w:color w:val="auto"/>
                <w:sz w:val="24"/>
                <w:highlight w:val="none"/>
              </w:rPr>
            </w:pPr>
          </w:p>
        </w:tc>
        <w:tc>
          <w:tcPr>
            <w:tcW w:w="2347" w:type="dxa"/>
            <w:vAlign w:val="center"/>
          </w:tcPr>
          <w:p w14:paraId="181B58A5">
            <w:pPr>
              <w:pStyle w:val="421"/>
              <w:jc w:val="center"/>
              <w:rPr>
                <w:rFonts w:asciiTheme="minorEastAsia" w:hAnsiTheme="minorEastAsia" w:eastAsiaTheme="minorEastAsia"/>
                <w:color w:val="auto"/>
                <w:highlight w:val="none"/>
              </w:rPr>
            </w:pPr>
          </w:p>
        </w:tc>
        <w:tc>
          <w:tcPr>
            <w:tcW w:w="1235" w:type="dxa"/>
            <w:vAlign w:val="center"/>
          </w:tcPr>
          <w:p w14:paraId="3B89C0BF">
            <w:pPr>
              <w:jc w:val="center"/>
              <w:rPr>
                <w:rFonts w:asciiTheme="minorEastAsia" w:hAnsiTheme="minorEastAsia" w:eastAsiaTheme="minorEastAsia"/>
                <w:color w:val="auto"/>
                <w:sz w:val="24"/>
                <w:highlight w:val="none"/>
              </w:rPr>
            </w:pPr>
          </w:p>
        </w:tc>
      </w:tr>
      <w:tr w14:paraId="18BE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67DBA62">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3D490DCA">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1FEF9AE4">
            <w:pPr>
              <w:jc w:val="center"/>
              <w:rPr>
                <w:rFonts w:asciiTheme="minorEastAsia" w:hAnsiTheme="minorEastAsia" w:eastAsiaTheme="minorEastAsia"/>
                <w:color w:val="auto"/>
                <w:sz w:val="24"/>
                <w:highlight w:val="none"/>
              </w:rPr>
            </w:pPr>
          </w:p>
        </w:tc>
        <w:tc>
          <w:tcPr>
            <w:tcW w:w="2347" w:type="dxa"/>
            <w:vAlign w:val="center"/>
          </w:tcPr>
          <w:p w14:paraId="5AECB567">
            <w:pPr>
              <w:jc w:val="center"/>
              <w:rPr>
                <w:rFonts w:asciiTheme="minorEastAsia" w:hAnsiTheme="minorEastAsia" w:eastAsiaTheme="minorEastAsia"/>
                <w:color w:val="auto"/>
                <w:sz w:val="24"/>
                <w:highlight w:val="none"/>
              </w:rPr>
            </w:pPr>
          </w:p>
        </w:tc>
        <w:tc>
          <w:tcPr>
            <w:tcW w:w="1235" w:type="dxa"/>
            <w:vAlign w:val="center"/>
          </w:tcPr>
          <w:p w14:paraId="5FCBEE05">
            <w:pPr>
              <w:jc w:val="center"/>
              <w:rPr>
                <w:rFonts w:asciiTheme="minorEastAsia" w:hAnsiTheme="minorEastAsia" w:eastAsiaTheme="minorEastAsia"/>
                <w:color w:val="auto"/>
                <w:sz w:val="24"/>
                <w:highlight w:val="none"/>
              </w:rPr>
            </w:pPr>
          </w:p>
        </w:tc>
      </w:tr>
      <w:tr w14:paraId="7522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1F9FF54C">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18E08DD5">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72043517">
            <w:pPr>
              <w:jc w:val="center"/>
              <w:rPr>
                <w:rFonts w:asciiTheme="minorEastAsia" w:hAnsiTheme="minorEastAsia" w:eastAsiaTheme="minorEastAsia"/>
                <w:color w:val="auto"/>
                <w:sz w:val="24"/>
                <w:highlight w:val="none"/>
              </w:rPr>
            </w:pPr>
          </w:p>
        </w:tc>
        <w:tc>
          <w:tcPr>
            <w:tcW w:w="2347" w:type="dxa"/>
            <w:vAlign w:val="center"/>
          </w:tcPr>
          <w:p w14:paraId="5083F3BD">
            <w:pPr>
              <w:jc w:val="center"/>
              <w:rPr>
                <w:rFonts w:asciiTheme="minorEastAsia" w:hAnsiTheme="minorEastAsia" w:eastAsiaTheme="minorEastAsia"/>
                <w:color w:val="auto"/>
                <w:sz w:val="24"/>
                <w:highlight w:val="none"/>
              </w:rPr>
            </w:pPr>
          </w:p>
        </w:tc>
        <w:tc>
          <w:tcPr>
            <w:tcW w:w="1235" w:type="dxa"/>
            <w:vAlign w:val="center"/>
          </w:tcPr>
          <w:p w14:paraId="5158CFA7">
            <w:pPr>
              <w:jc w:val="center"/>
              <w:rPr>
                <w:rFonts w:asciiTheme="minorEastAsia" w:hAnsiTheme="minorEastAsia" w:eastAsiaTheme="minorEastAsia"/>
                <w:color w:val="auto"/>
                <w:sz w:val="24"/>
                <w:highlight w:val="none"/>
              </w:rPr>
            </w:pPr>
          </w:p>
        </w:tc>
      </w:tr>
    </w:tbl>
    <w:p w14:paraId="44DA89D2">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02DC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30CFF6BD">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6D3426DE">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40B0C358">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59441C21">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7DAEE5C9">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7303A481">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7C32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60EDF5E1">
            <w:pPr>
              <w:spacing w:line="360" w:lineRule="auto"/>
              <w:jc w:val="center"/>
              <w:rPr>
                <w:rFonts w:ascii="宋体" w:hAnsi="宋体"/>
                <w:color w:val="auto"/>
                <w:spacing w:val="-4"/>
                <w:szCs w:val="21"/>
                <w:highlight w:val="none"/>
              </w:rPr>
            </w:pPr>
          </w:p>
        </w:tc>
        <w:tc>
          <w:tcPr>
            <w:tcW w:w="1243" w:type="dxa"/>
            <w:vAlign w:val="center"/>
          </w:tcPr>
          <w:p w14:paraId="5E459168">
            <w:pPr>
              <w:spacing w:line="360" w:lineRule="auto"/>
              <w:jc w:val="center"/>
              <w:rPr>
                <w:rFonts w:ascii="宋体" w:hAnsi="宋体"/>
                <w:color w:val="auto"/>
                <w:szCs w:val="21"/>
                <w:highlight w:val="none"/>
              </w:rPr>
            </w:pPr>
          </w:p>
        </w:tc>
        <w:tc>
          <w:tcPr>
            <w:tcW w:w="1770" w:type="dxa"/>
          </w:tcPr>
          <w:p w14:paraId="004F68FE">
            <w:pPr>
              <w:spacing w:line="360" w:lineRule="auto"/>
              <w:jc w:val="center"/>
              <w:rPr>
                <w:rFonts w:ascii="宋体" w:hAnsi="宋体"/>
                <w:b/>
                <w:color w:val="auto"/>
                <w:szCs w:val="21"/>
                <w:highlight w:val="none"/>
              </w:rPr>
            </w:pPr>
          </w:p>
        </w:tc>
        <w:tc>
          <w:tcPr>
            <w:tcW w:w="1843" w:type="dxa"/>
            <w:vAlign w:val="center"/>
          </w:tcPr>
          <w:p w14:paraId="4E97E25E">
            <w:pPr>
              <w:spacing w:line="360" w:lineRule="auto"/>
              <w:jc w:val="center"/>
              <w:rPr>
                <w:rFonts w:ascii="宋体" w:hAnsi="宋体"/>
                <w:b/>
                <w:color w:val="auto"/>
                <w:szCs w:val="21"/>
                <w:highlight w:val="none"/>
              </w:rPr>
            </w:pPr>
          </w:p>
        </w:tc>
        <w:tc>
          <w:tcPr>
            <w:tcW w:w="1603" w:type="dxa"/>
            <w:vAlign w:val="center"/>
          </w:tcPr>
          <w:p w14:paraId="167D5622">
            <w:pPr>
              <w:spacing w:line="360" w:lineRule="auto"/>
              <w:jc w:val="center"/>
              <w:rPr>
                <w:rFonts w:ascii="宋体" w:hAnsi="宋体"/>
                <w:b/>
                <w:color w:val="auto"/>
                <w:szCs w:val="21"/>
                <w:highlight w:val="none"/>
              </w:rPr>
            </w:pPr>
          </w:p>
        </w:tc>
        <w:tc>
          <w:tcPr>
            <w:tcW w:w="1293" w:type="dxa"/>
            <w:vAlign w:val="center"/>
          </w:tcPr>
          <w:p w14:paraId="507CC31E">
            <w:pPr>
              <w:spacing w:line="360" w:lineRule="auto"/>
              <w:jc w:val="center"/>
              <w:rPr>
                <w:rFonts w:ascii="宋体" w:hAnsi="宋体"/>
                <w:b/>
                <w:color w:val="auto"/>
                <w:szCs w:val="21"/>
                <w:highlight w:val="none"/>
              </w:rPr>
            </w:pPr>
          </w:p>
        </w:tc>
      </w:tr>
      <w:tr w14:paraId="04DE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509426BB">
            <w:pPr>
              <w:spacing w:line="360" w:lineRule="auto"/>
              <w:jc w:val="center"/>
              <w:rPr>
                <w:rFonts w:ascii="宋体" w:hAnsi="宋体"/>
                <w:color w:val="auto"/>
                <w:spacing w:val="-4"/>
                <w:szCs w:val="21"/>
                <w:highlight w:val="none"/>
              </w:rPr>
            </w:pPr>
          </w:p>
        </w:tc>
        <w:tc>
          <w:tcPr>
            <w:tcW w:w="1243" w:type="dxa"/>
            <w:vAlign w:val="center"/>
          </w:tcPr>
          <w:p w14:paraId="662E97E3">
            <w:pPr>
              <w:spacing w:line="360" w:lineRule="auto"/>
              <w:jc w:val="center"/>
              <w:rPr>
                <w:rFonts w:ascii="宋体" w:hAnsi="宋体"/>
                <w:color w:val="auto"/>
                <w:szCs w:val="21"/>
                <w:highlight w:val="none"/>
              </w:rPr>
            </w:pPr>
          </w:p>
        </w:tc>
        <w:tc>
          <w:tcPr>
            <w:tcW w:w="1770" w:type="dxa"/>
          </w:tcPr>
          <w:p w14:paraId="2FCC49D6">
            <w:pPr>
              <w:spacing w:line="360" w:lineRule="auto"/>
              <w:jc w:val="center"/>
              <w:rPr>
                <w:rFonts w:ascii="宋体" w:hAnsi="宋体"/>
                <w:b/>
                <w:color w:val="auto"/>
                <w:szCs w:val="21"/>
                <w:highlight w:val="none"/>
              </w:rPr>
            </w:pPr>
          </w:p>
        </w:tc>
        <w:tc>
          <w:tcPr>
            <w:tcW w:w="1843" w:type="dxa"/>
            <w:vAlign w:val="center"/>
          </w:tcPr>
          <w:p w14:paraId="07BBC668">
            <w:pPr>
              <w:spacing w:line="360" w:lineRule="auto"/>
              <w:jc w:val="center"/>
              <w:rPr>
                <w:rFonts w:ascii="宋体" w:hAnsi="宋体"/>
                <w:b/>
                <w:color w:val="auto"/>
                <w:szCs w:val="21"/>
                <w:highlight w:val="none"/>
              </w:rPr>
            </w:pPr>
          </w:p>
        </w:tc>
        <w:tc>
          <w:tcPr>
            <w:tcW w:w="1603" w:type="dxa"/>
            <w:vAlign w:val="center"/>
          </w:tcPr>
          <w:p w14:paraId="685B0FDE">
            <w:pPr>
              <w:spacing w:line="360" w:lineRule="auto"/>
              <w:jc w:val="center"/>
              <w:rPr>
                <w:rFonts w:ascii="宋体" w:hAnsi="宋体"/>
                <w:b/>
                <w:color w:val="auto"/>
                <w:szCs w:val="21"/>
                <w:highlight w:val="none"/>
              </w:rPr>
            </w:pPr>
          </w:p>
        </w:tc>
        <w:tc>
          <w:tcPr>
            <w:tcW w:w="1293" w:type="dxa"/>
            <w:vAlign w:val="center"/>
          </w:tcPr>
          <w:p w14:paraId="3BD909B3">
            <w:pPr>
              <w:spacing w:line="360" w:lineRule="auto"/>
              <w:jc w:val="center"/>
              <w:rPr>
                <w:rFonts w:ascii="宋体" w:hAnsi="宋体"/>
                <w:b/>
                <w:color w:val="auto"/>
                <w:szCs w:val="21"/>
                <w:highlight w:val="none"/>
              </w:rPr>
            </w:pPr>
          </w:p>
        </w:tc>
      </w:tr>
      <w:tr w14:paraId="2589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29443B8A">
            <w:pPr>
              <w:spacing w:line="360" w:lineRule="auto"/>
              <w:jc w:val="center"/>
              <w:rPr>
                <w:rFonts w:ascii="宋体" w:hAnsi="宋体"/>
                <w:color w:val="auto"/>
                <w:spacing w:val="-4"/>
                <w:szCs w:val="21"/>
                <w:highlight w:val="none"/>
              </w:rPr>
            </w:pPr>
          </w:p>
        </w:tc>
        <w:tc>
          <w:tcPr>
            <w:tcW w:w="1243" w:type="dxa"/>
            <w:vAlign w:val="center"/>
          </w:tcPr>
          <w:p w14:paraId="2B4D7276">
            <w:pPr>
              <w:spacing w:line="360" w:lineRule="auto"/>
              <w:jc w:val="center"/>
              <w:rPr>
                <w:rFonts w:ascii="宋体" w:hAnsi="宋体"/>
                <w:color w:val="auto"/>
                <w:szCs w:val="21"/>
                <w:highlight w:val="none"/>
              </w:rPr>
            </w:pPr>
          </w:p>
        </w:tc>
        <w:tc>
          <w:tcPr>
            <w:tcW w:w="1770" w:type="dxa"/>
          </w:tcPr>
          <w:p w14:paraId="0E5D50E9">
            <w:pPr>
              <w:spacing w:line="360" w:lineRule="auto"/>
              <w:jc w:val="center"/>
              <w:rPr>
                <w:rFonts w:ascii="宋体" w:hAnsi="宋体"/>
                <w:b/>
                <w:color w:val="auto"/>
                <w:szCs w:val="21"/>
                <w:highlight w:val="none"/>
              </w:rPr>
            </w:pPr>
          </w:p>
        </w:tc>
        <w:tc>
          <w:tcPr>
            <w:tcW w:w="1843" w:type="dxa"/>
            <w:vAlign w:val="center"/>
          </w:tcPr>
          <w:p w14:paraId="3BC4E3FF">
            <w:pPr>
              <w:spacing w:line="360" w:lineRule="auto"/>
              <w:jc w:val="center"/>
              <w:rPr>
                <w:rFonts w:ascii="宋体" w:hAnsi="宋体"/>
                <w:b/>
                <w:color w:val="auto"/>
                <w:szCs w:val="21"/>
                <w:highlight w:val="none"/>
              </w:rPr>
            </w:pPr>
          </w:p>
        </w:tc>
        <w:tc>
          <w:tcPr>
            <w:tcW w:w="1603" w:type="dxa"/>
            <w:vAlign w:val="center"/>
          </w:tcPr>
          <w:p w14:paraId="1A028D49">
            <w:pPr>
              <w:spacing w:line="360" w:lineRule="auto"/>
              <w:jc w:val="center"/>
              <w:rPr>
                <w:rFonts w:ascii="宋体" w:hAnsi="宋体"/>
                <w:b/>
                <w:color w:val="auto"/>
                <w:szCs w:val="21"/>
                <w:highlight w:val="none"/>
              </w:rPr>
            </w:pPr>
          </w:p>
        </w:tc>
        <w:tc>
          <w:tcPr>
            <w:tcW w:w="1293" w:type="dxa"/>
            <w:vAlign w:val="center"/>
          </w:tcPr>
          <w:p w14:paraId="7D6AB736">
            <w:pPr>
              <w:spacing w:line="360" w:lineRule="auto"/>
              <w:jc w:val="center"/>
              <w:rPr>
                <w:rFonts w:ascii="宋体" w:hAnsi="宋体"/>
                <w:b/>
                <w:color w:val="auto"/>
                <w:szCs w:val="21"/>
                <w:highlight w:val="none"/>
              </w:rPr>
            </w:pPr>
          </w:p>
        </w:tc>
      </w:tr>
      <w:tr w14:paraId="4832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21D6AFE">
            <w:pPr>
              <w:spacing w:line="360" w:lineRule="auto"/>
              <w:jc w:val="center"/>
              <w:rPr>
                <w:rFonts w:ascii="宋体" w:hAnsi="宋体"/>
                <w:color w:val="auto"/>
                <w:spacing w:val="-4"/>
                <w:szCs w:val="21"/>
                <w:highlight w:val="none"/>
              </w:rPr>
            </w:pPr>
          </w:p>
        </w:tc>
        <w:tc>
          <w:tcPr>
            <w:tcW w:w="1243" w:type="dxa"/>
            <w:vAlign w:val="center"/>
          </w:tcPr>
          <w:p w14:paraId="3DBADB75">
            <w:pPr>
              <w:spacing w:line="360" w:lineRule="auto"/>
              <w:jc w:val="center"/>
              <w:rPr>
                <w:rFonts w:ascii="宋体" w:hAnsi="宋体"/>
                <w:color w:val="auto"/>
                <w:szCs w:val="21"/>
                <w:highlight w:val="none"/>
              </w:rPr>
            </w:pPr>
          </w:p>
        </w:tc>
        <w:tc>
          <w:tcPr>
            <w:tcW w:w="1770" w:type="dxa"/>
          </w:tcPr>
          <w:p w14:paraId="18E018CD">
            <w:pPr>
              <w:spacing w:line="360" w:lineRule="auto"/>
              <w:jc w:val="center"/>
              <w:rPr>
                <w:rFonts w:ascii="宋体" w:hAnsi="宋体"/>
                <w:b/>
                <w:color w:val="auto"/>
                <w:szCs w:val="21"/>
                <w:highlight w:val="none"/>
              </w:rPr>
            </w:pPr>
          </w:p>
        </w:tc>
        <w:tc>
          <w:tcPr>
            <w:tcW w:w="1843" w:type="dxa"/>
            <w:vAlign w:val="center"/>
          </w:tcPr>
          <w:p w14:paraId="52338796">
            <w:pPr>
              <w:spacing w:line="360" w:lineRule="auto"/>
              <w:jc w:val="center"/>
              <w:rPr>
                <w:rFonts w:ascii="宋体" w:hAnsi="宋体"/>
                <w:b/>
                <w:color w:val="auto"/>
                <w:szCs w:val="21"/>
                <w:highlight w:val="none"/>
              </w:rPr>
            </w:pPr>
          </w:p>
        </w:tc>
        <w:tc>
          <w:tcPr>
            <w:tcW w:w="1603" w:type="dxa"/>
            <w:vAlign w:val="center"/>
          </w:tcPr>
          <w:p w14:paraId="000A2778">
            <w:pPr>
              <w:spacing w:line="360" w:lineRule="auto"/>
              <w:jc w:val="center"/>
              <w:rPr>
                <w:rFonts w:ascii="宋体" w:hAnsi="宋体"/>
                <w:b/>
                <w:color w:val="auto"/>
                <w:szCs w:val="21"/>
                <w:highlight w:val="none"/>
              </w:rPr>
            </w:pPr>
          </w:p>
        </w:tc>
        <w:tc>
          <w:tcPr>
            <w:tcW w:w="1293" w:type="dxa"/>
            <w:vAlign w:val="center"/>
          </w:tcPr>
          <w:p w14:paraId="696075C0">
            <w:pPr>
              <w:spacing w:line="360" w:lineRule="auto"/>
              <w:jc w:val="center"/>
              <w:rPr>
                <w:rFonts w:ascii="宋体" w:hAnsi="宋体"/>
                <w:b/>
                <w:color w:val="auto"/>
                <w:szCs w:val="21"/>
                <w:highlight w:val="none"/>
              </w:rPr>
            </w:pPr>
          </w:p>
        </w:tc>
      </w:tr>
      <w:tr w14:paraId="5C05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4BC8739">
            <w:pPr>
              <w:spacing w:line="360" w:lineRule="auto"/>
              <w:jc w:val="center"/>
              <w:rPr>
                <w:rFonts w:ascii="宋体" w:hAnsi="宋体"/>
                <w:color w:val="auto"/>
                <w:spacing w:val="-4"/>
                <w:szCs w:val="21"/>
                <w:highlight w:val="none"/>
              </w:rPr>
            </w:pPr>
          </w:p>
        </w:tc>
        <w:tc>
          <w:tcPr>
            <w:tcW w:w="1243" w:type="dxa"/>
            <w:vAlign w:val="center"/>
          </w:tcPr>
          <w:p w14:paraId="563DEACE">
            <w:pPr>
              <w:spacing w:line="360" w:lineRule="auto"/>
              <w:jc w:val="center"/>
              <w:rPr>
                <w:rFonts w:ascii="宋体" w:hAnsi="宋体"/>
                <w:color w:val="auto"/>
                <w:szCs w:val="21"/>
                <w:highlight w:val="none"/>
              </w:rPr>
            </w:pPr>
          </w:p>
        </w:tc>
        <w:tc>
          <w:tcPr>
            <w:tcW w:w="1770" w:type="dxa"/>
          </w:tcPr>
          <w:p w14:paraId="3E0677AA">
            <w:pPr>
              <w:spacing w:line="360" w:lineRule="auto"/>
              <w:jc w:val="center"/>
              <w:rPr>
                <w:rFonts w:ascii="宋体" w:hAnsi="宋体"/>
                <w:b/>
                <w:color w:val="auto"/>
                <w:szCs w:val="21"/>
                <w:highlight w:val="none"/>
              </w:rPr>
            </w:pPr>
          </w:p>
        </w:tc>
        <w:tc>
          <w:tcPr>
            <w:tcW w:w="1843" w:type="dxa"/>
            <w:vAlign w:val="center"/>
          </w:tcPr>
          <w:p w14:paraId="070381DC">
            <w:pPr>
              <w:spacing w:line="360" w:lineRule="auto"/>
              <w:jc w:val="center"/>
              <w:rPr>
                <w:rFonts w:ascii="宋体" w:hAnsi="宋体"/>
                <w:b/>
                <w:color w:val="auto"/>
                <w:szCs w:val="21"/>
                <w:highlight w:val="none"/>
              </w:rPr>
            </w:pPr>
          </w:p>
        </w:tc>
        <w:tc>
          <w:tcPr>
            <w:tcW w:w="1603" w:type="dxa"/>
            <w:vAlign w:val="center"/>
          </w:tcPr>
          <w:p w14:paraId="153FD8DB">
            <w:pPr>
              <w:spacing w:line="360" w:lineRule="auto"/>
              <w:jc w:val="center"/>
              <w:rPr>
                <w:rFonts w:ascii="宋体" w:hAnsi="宋体"/>
                <w:b/>
                <w:color w:val="auto"/>
                <w:szCs w:val="21"/>
                <w:highlight w:val="none"/>
              </w:rPr>
            </w:pPr>
          </w:p>
        </w:tc>
        <w:tc>
          <w:tcPr>
            <w:tcW w:w="1293" w:type="dxa"/>
            <w:vAlign w:val="center"/>
          </w:tcPr>
          <w:p w14:paraId="731FCEF6">
            <w:pPr>
              <w:spacing w:line="360" w:lineRule="auto"/>
              <w:jc w:val="center"/>
              <w:rPr>
                <w:rFonts w:ascii="宋体" w:hAnsi="宋体"/>
                <w:b/>
                <w:color w:val="auto"/>
                <w:szCs w:val="21"/>
                <w:highlight w:val="none"/>
              </w:rPr>
            </w:pPr>
          </w:p>
        </w:tc>
      </w:tr>
    </w:tbl>
    <w:p w14:paraId="0C2F562B">
      <w:pPr>
        <w:tabs>
          <w:tab w:val="left" w:pos="1815"/>
        </w:tabs>
        <w:spacing w:line="360" w:lineRule="auto"/>
        <w:ind w:left="1" w:firstLine="417" w:firstLineChars="199"/>
        <w:rPr>
          <w:rFonts w:ascii="宋体" w:hAnsi="宋体" w:cs="Arial"/>
          <w:color w:val="auto"/>
          <w:szCs w:val="21"/>
          <w:highlight w:val="none"/>
        </w:rPr>
      </w:pPr>
    </w:p>
    <w:p w14:paraId="3264268A">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53C7B9AC">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282196E0">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531A710F">
      <w:pPr>
        <w:spacing w:line="360" w:lineRule="auto"/>
        <w:ind w:firstLine="3561" w:firstLineChars="1696"/>
        <w:rPr>
          <w:rFonts w:ascii="宋体" w:hAnsi="宋体"/>
          <w:color w:val="auto"/>
          <w:szCs w:val="21"/>
          <w:highlight w:val="none"/>
        </w:rPr>
      </w:pPr>
    </w:p>
    <w:p w14:paraId="2077014D">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供应商签章：</w:t>
      </w:r>
      <w:r>
        <w:rPr>
          <w:rFonts w:hint="eastAsia" w:ascii="宋体" w:hAnsi="宋体" w:eastAsia="宋体"/>
          <w:color w:val="auto"/>
          <w:sz w:val="24"/>
          <w:highlight w:val="none"/>
          <w:u w:val="single"/>
        </w:rPr>
        <w:t xml:space="preserve">                      </w:t>
      </w:r>
    </w:p>
    <w:p w14:paraId="3DDDA8D0">
      <w:pPr>
        <w:pStyle w:val="30"/>
        <w:tabs>
          <w:tab w:val="left" w:pos="5580"/>
        </w:tabs>
        <w:spacing w:line="480" w:lineRule="auto"/>
        <w:ind w:firstLine="3600" w:firstLineChars="1500"/>
        <w:rPr>
          <w:rFonts w:hint="eastAsia" w:hAnsi="宋体" w:cs="宋体"/>
          <w:color w:val="auto"/>
          <w:highlight w:val="none"/>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420"/>
    <w:p w14:paraId="553A4295">
      <w:pPr>
        <w:pStyle w:val="8"/>
        <w:numPr>
          <w:ilvl w:val="0"/>
          <w:numId w:val="8"/>
        </w:numPr>
        <w:jc w:val="center"/>
        <w:rPr>
          <w:rFonts w:cs="宋体"/>
          <w:color w:val="auto"/>
          <w:sz w:val="28"/>
          <w:szCs w:val="28"/>
          <w:highlight w:val="none"/>
        </w:rPr>
      </w:pPr>
      <w:bookmarkStart w:id="425" w:name="_Toc1533"/>
      <w:bookmarkStart w:id="426" w:name="_Toc24008"/>
      <w:bookmarkStart w:id="427" w:name="_Toc54941345"/>
      <w:bookmarkStart w:id="428" w:name="_Toc15038"/>
      <w:bookmarkStart w:id="429" w:name="_Toc476584436"/>
      <w:r>
        <w:rPr>
          <w:rFonts w:hint="eastAsia" w:cs="宋体"/>
          <w:color w:val="auto"/>
          <w:sz w:val="28"/>
          <w:szCs w:val="28"/>
          <w:highlight w:val="none"/>
        </w:rPr>
        <w:t>最后报价表</w:t>
      </w:r>
      <w:bookmarkEnd w:id="425"/>
      <w:bookmarkEnd w:id="426"/>
      <w:bookmarkEnd w:id="427"/>
    </w:p>
    <w:p w14:paraId="672E25C4">
      <w:pPr>
        <w:pStyle w:val="4"/>
        <w:rPr>
          <w:color w:val="auto"/>
          <w:highlight w:val="none"/>
        </w:rPr>
      </w:pPr>
    </w:p>
    <w:p w14:paraId="14854B3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36B9BD8C">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22AA0090">
      <w:pPr>
        <w:spacing w:line="360" w:lineRule="auto"/>
        <w:ind w:firstLine="6090" w:firstLineChars="2900"/>
        <w:rPr>
          <w:rFonts w:ascii="宋体"/>
          <w:color w:val="auto"/>
          <w:highlight w:val="none"/>
        </w:rPr>
      </w:pPr>
      <w:r>
        <w:rPr>
          <w:rFonts w:hint="eastAsia" w:ascii="宋体" w:hAnsi="宋体"/>
          <w:color w:val="auto"/>
          <w:highlight w:val="none"/>
        </w:rPr>
        <w:t>金额单位：人民币（元）</w:t>
      </w: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599C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64F3ABAA">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7887D5CF">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01E51CD4">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此表请各供应商准备好，以便在磋商时报价使用（此表须加盖供应商电子公章，由供应商</w:t>
            </w:r>
            <w:r>
              <w:rPr>
                <w:rFonts w:hint="eastAsia" w:ascii="宋体" w:hAnsi="宋体" w:cs="宋体"/>
                <w:b w:val="0"/>
                <w:bCs/>
                <w:i/>
                <w:iCs/>
                <w:color w:val="auto"/>
                <w:sz w:val="21"/>
                <w:szCs w:val="21"/>
                <w:highlight w:val="none"/>
              </w:rPr>
              <w:t>通过电子</w:t>
            </w:r>
            <w:r>
              <w:rPr>
                <w:rFonts w:hint="eastAsia" w:ascii="宋体" w:hAnsi="宋体" w:cs="宋体"/>
                <w:b w:val="0"/>
                <w:bCs/>
                <w:i/>
                <w:iCs/>
                <w:color w:val="auto"/>
                <w:sz w:val="21"/>
                <w:szCs w:val="21"/>
                <w:highlight w:val="none"/>
                <w:lang w:val="en-US" w:eastAsia="zh-CN"/>
              </w:rPr>
              <w:t>邮箱</w:t>
            </w:r>
            <w:r>
              <w:rPr>
                <w:rFonts w:hint="eastAsia" w:ascii="宋体" w:hAnsi="宋体"/>
                <w:b w:val="0"/>
                <w:bCs/>
                <w:i/>
                <w:iCs/>
                <w:color w:val="auto"/>
                <w:sz w:val="21"/>
                <w:szCs w:val="21"/>
                <w:highlight w:val="none"/>
              </w:rPr>
              <w:t>递交</w:t>
            </w:r>
            <w:r>
              <w:rPr>
                <w:rFonts w:hint="eastAsia" w:ascii="宋体" w:hAnsi="宋体"/>
                <w:b w:val="0"/>
                <w:bCs/>
                <w:i/>
                <w:iCs/>
                <w:color w:val="auto"/>
                <w:sz w:val="21"/>
                <w:szCs w:val="21"/>
                <w:highlight w:val="none"/>
                <w:lang w:val="en-US" w:eastAsia="zh-CN"/>
              </w:rPr>
              <w:t>或者现场递交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598D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6574BAE7">
            <w:pPr>
              <w:spacing w:line="400" w:lineRule="exact"/>
              <w:jc w:val="center"/>
              <w:rPr>
                <w:color w:val="auto"/>
                <w:sz w:val="24"/>
                <w:highlight w:val="none"/>
              </w:rPr>
            </w:pPr>
          </w:p>
        </w:tc>
        <w:tc>
          <w:tcPr>
            <w:tcW w:w="6743" w:type="dxa"/>
            <w:vAlign w:val="center"/>
          </w:tcPr>
          <w:p w14:paraId="234773CB">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65B1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275ED54A">
            <w:pPr>
              <w:spacing w:line="400" w:lineRule="exact"/>
              <w:rPr>
                <w:rFonts w:hAnsi="宋体"/>
                <w:color w:val="auto"/>
                <w:sz w:val="24"/>
                <w:highlight w:val="none"/>
              </w:rPr>
            </w:pPr>
            <w:r>
              <w:rPr>
                <w:rFonts w:hint="eastAsia" w:hAnsi="宋体"/>
                <w:color w:val="auto"/>
                <w:sz w:val="24"/>
                <w:highlight w:val="none"/>
              </w:rPr>
              <w:t>备注：</w:t>
            </w:r>
          </w:p>
          <w:p w14:paraId="731030A0">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4929BEFC">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7DDFD48C">
      <w:pPr>
        <w:spacing w:line="360" w:lineRule="auto"/>
        <w:rPr>
          <w:rFonts w:ascii="宋体"/>
          <w:b/>
          <w:color w:val="auto"/>
          <w:sz w:val="24"/>
          <w:highlight w:val="none"/>
        </w:rPr>
      </w:pPr>
    </w:p>
    <w:p w14:paraId="759185E1">
      <w:pPr>
        <w:spacing w:line="360" w:lineRule="auto"/>
        <w:ind w:firstLine="3465" w:firstLineChars="1650"/>
        <w:rPr>
          <w:rFonts w:ascii="宋体"/>
          <w:color w:val="auto"/>
          <w:szCs w:val="21"/>
          <w:highlight w:val="none"/>
        </w:rPr>
      </w:pPr>
    </w:p>
    <w:p w14:paraId="48A63DDE">
      <w:pPr>
        <w:pStyle w:val="8"/>
        <w:rPr>
          <w:rFonts w:ascii="宋体"/>
          <w:color w:val="auto"/>
          <w:szCs w:val="21"/>
          <w:highlight w:val="none"/>
        </w:rPr>
      </w:pPr>
    </w:p>
    <w:p w14:paraId="412693F9">
      <w:pPr>
        <w:rPr>
          <w:rFonts w:ascii="宋体"/>
          <w:color w:val="auto"/>
          <w:szCs w:val="21"/>
          <w:highlight w:val="none"/>
        </w:rPr>
      </w:pPr>
    </w:p>
    <w:p w14:paraId="6AA88104">
      <w:pPr>
        <w:pStyle w:val="8"/>
        <w:rPr>
          <w:color w:val="auto"/>
          <w:highlight w:val="none"/>
        </w:rPr>
      </w:pPr>
    </w:p>
    <w:p w14:paraId="5B470E26">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7144EAE2">
      <w:pPr>
        <w:pStyle w:val="30"/>
        <w:tabs>
          <w:tab w:val="left" w:pos="5580"/>
        </w:tabs>
        <w:spacing w:line="480" w:lineRule="auto"/>
        <w:ind w:firstLine="3600" w:firstLineChars="1500"/>
        <w:rPr>
          <w:rFonts w:hint="default" w:hAnsi="宋体" w:eastAsia="宋体" w:cs="宋体"/>
          <w:color w:val="auto"/>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428"/>
    <w:bookmarkEnd w:id="429"/>
    <w:p w14:paraId="5AEFA8FB">
      <w:pPr>
        <w:pStyle w:val="8"/>
        <w:rPr>
          <w:rFonts w:hint="eastAsia"/>
          <w:color w:val="auto"/>
          <w:highlight w:val="none"/>
          <w:lang w:eastAsia="zh-CN"/>
        </w:rPr>
      </w:pPr>
      <w:bookmarkStart w:id="430" w:name="_Toc2920"/>
      <w:bookmarkStart w:id="431" w:name="_Toc20013"/>
    </w:p>
    <w:p w14:paraId="2A88188C">
      <w:pPr>
        <w:pStyle w:val="8"/>
        <w:rPr>
          <w:rFonts w:hint="eastAsia"/>
          <w:color w:val="auto"/>
          <w:highlight w:val="none"/>
          <w:lang w:eastAsia="zh-CN"/>
        </w:rPr>
      </w:pPr>
    </w:p>
    <w:p w14:paraId="26D194C8">
      <w:pPr>
        <w:pStyle w:val="8"/>
        <w:numPr>
          <w:ilvl w:val="0"/>
          <w:numId w:val="0"/>
        </w:numPr>
        <w:shd w:val="clear" w:color="auto" w:fill="FFFFFF"/>
        <w:jc w:val="center"/>
        <w:rPr>
          <w:rFonts w:hint="default" w:cs="宋体"/>
          <w:color w:val="auto"/>
          <w:sz w:val="28"/>
          <w:szCs w:val="28"/>
          <w:highlight w:val="none"/>
          <w:lang w:val="en-US" w:eastAsia="zh-CN"/>
        </w:rPr>
      </w:pPr>
      <w:bookmarkStart w:id="432" w:name="_Toc8493"/>
      <w:bookmarkStart w:id="433" w:name="_Toc8458"/>
      <w:r>
        <w:rPr>
          <w:rFonts w:hint="eastAsia" w:cs="宋体"/>
          <w:color w:val="auto"/>
          <w:sz w:val="28"/>
          <w:szCs w:val="28"/>
          <w:highlight w:val="none"/>
          <w:lang w:val="en-US" w:eastAsia="zh-CN"/>
        </w:rPr>
        <w:t>五</w:t>
      </w:r>
      <w:r>
        <w:rPr>
          <w:rFonts w:hint="eastAsia" w:cs="宋体"/>
          <w:color w:val="auto"/>
          <w:sz w:val="28"/>
          <w:szCs w:val="28"/>
          <w:highlight w:val="none"/>
        </w:rPr>
        <w:t>、</w:t>
      </w:r>
      <w:bookmarkEnd w:id="430"/>
      <w:bookmarkEnd w:id="431"/>
      <w:r>
        <w:rPr>
          <w:rFonts w:hint="eastAsia" w:cs="Times New Roman" w:asciiTheme="minorEastAsia" w:hAnsiTheme="minorEastAsia" w:eastAsiaTheme="minorEastAsia"/>
          <w:b/>
          <w:color w:val="auto"/>
          <w:kern w:val="2"/>
          <w:sz w:val="28"/>
          <w:szCs w:val="28"/>
          <w:highlight w:val="none"/>
          <w:lang w:val="en-US" w:eastAsia="zh-CN" w:bidi="ar-SA"/>
        </w:rPr>
        <w:t>供货及安装调试方案</w:t>
      </w:r>
      <w:bookmarkEnd w:id="432"/>
      <w:bookmarkEnd w:id="433"/>
    </w:p>
    <w:p w14:paraId="674C462A">
      <w:pPr>
        <w:spacing w:line="360" w:lineRule="auto"/>
        <w:ind w:firstLine="420" w:firstLineChars="200"/>
        <w:rPr>
          <w:rFonts w:ascii="仿宋" w:hAnsi="仿宋" w:eastAsia="仿宋"/>
          <w:color w:val="auto"/>
          <w:szCs w:val="21"/>
          <w:highlight w:val="none"/>
        </w:rPr>
      </w:pPr>
    </w:p>
    <w:p w14:paraId="38E72BE7">
      <w:pPr>
        <w:spacing w:line="360" w:lineRule="auto"/>
        <w:ind w:firstLine="435"/>
        <w:jc w:val="center"/>
        <w:rPr>
          <w:color w:val="auto"/>
          <w:highlight w:val="none"/>
        </w:rPr>
      </w:pPr>
      <w:r>
        <w:rPr>
          <w:rFonts w:hint="eastAsia"/>
          <w:color w:val="auto"/>
          <w:highlight w:val="none"/>
          <w:lang w:val="en-US" w:eastAsia="zh-CN"/>
        </w:rPr>
        <w:t>(响应人可自行制作格式)</w:t>
      </w:r>
    </w:p>
    <w:p w14:paraId="0940766D">
      <w:pPr>
        <w:spacing w:line="360" w:lineRule="auto"/>
        <w:ind w:firstLine="435"/>
        <w:rPr>
          <w:color w:val="auto"/>
          <w:highlight w:val="none"/>
        </w:rPr>
      </w:pPr>
    </w:p>
    <w:p w14:paraId="7DC9168C">
      <w:pPr>
        <w:spacing w:line="360" w:lineRule="auto"/>
        <w:ind w:firstLine="435"/>
        <w:rPr>
          <w:color w:val="auto"/>
          <w:highlight w:val="none"/>
        </w:rPr>
      </w:pPr>
    </w:p>
    <w:p w14:paraId="2A6F6C1C">
      <w:pPr>
        <w:spacing w:line="360" w:lineRule="auto"/>
        <w:ind w:firstLine="435"/>
        <w:rPr>
          <w:color w:val="auto"/>
          <w:highlight w:val="none"/>
        </w:rPr>
      </w:pPr>
    </w:p>
    <w:p w14:paraId="635538E8">
      <w:pPr>
        <w:spacing w:line="360" w:lineRule="auto"/>
        <w:ind w:firstLine="435"/>
        <w:rPr>
          <w:color w:val="auto"/>
          <w:highlight w:val="none"/>
        </w:rPr>
      </w:pPr>
    </w:p>
    <w:p w14:paraId="76442323">
      <w:pPr>
        <w:spacing w:line="360" w:lineRule="auto"/>
        <w:ind w:firstLine="435"/>
        <w:rPr>
          <w:color w:val="auto"/>
          <w:highlight w:val="none"/>
        </w:rPr>
      </w:pPr>
    </w:p>
    <w:p w14:paraId="166A0A30">
      <w:pPr>
        <w:pStyle w:val="74"/>
        <w:rPr>
          <w:color w:val="auto"/>
          <w:highlight w:val="none"/>
        </w:rPr>
      </w:pPr>
    </w:p>
    <w:p w14:paraId="3E61D126">
      <w:pPr>
        <w:pStyle w:val="74"/>
        <w:rPr>
          <w:color w:val="auto"/>
          <w:highlight w:val="none"/>
        </w:rPr>
      </w:pPr>
    </w:p>
    <w:p w14:paraId="5ABD84DE">
      <w:pPr>
        <w:pStyle w:val="74"/>
        <w:rPr>
          <w:color w:val="auto"/>
          <w:highlight w:val="none"/>
        </w:rPr>
      </w:pPr>
    </w:p>
    <w:p w14:paraId="47319D1B">
      <w:pPr>
        <w:pStyle w:val="74"/>
        <w:rPr>
          <w:color w:val="auto"/>
          <w:highlight w:val="none"/>
        </w:rPr>
      </w:pPr>
    </w:p>
    <w:p w14:paraId="2B60F727">
      <w:pPr>
        <w:pStyle w:val="74"/>
        <w:rPr>
          <w:color w:val="auto"/>
          <w:highlight w:val="none"/>
        </w:rPr>
      </w:pPr>
    </w:p>
    <w:p w14:paraId="69FEA4F8">
      <w:pPr>
        <w:pStyle w:val="74"/>
        <w:rPr>
          <w:color w:val="auto"/>
          <w:highlight w:val="none"/>
        </w:rPr>
      </w:pPr>
    </w:p>
    <w:p w14:paraId="5CABE949">
      <w:pPr>
        <w:pStyle w:val="74"/>
        <w:rPr>
          <w:color w:val="auto"/>
          <w:highlight w:val="none"/>
        </w:rPr>
      </w:pPr>
    </w:p>
    <w:p w14:paraId="0C770042">
      <w:pPr>
        <w:pStyle w:val="74"/>
        <w:rPr>
          <w:color w:val="auto"/>
          <w:highlight w:val="none"/>
        </w:rPr>
      </w:pPr>
    </w:p>
    <w:p w14:paraId="6AAB9864">
      <w:pPr>
        <w:pStyle w:val="74"/>
        <w:rPr>
          <w:color w:val="auto"/>
          <w:highlight w:val="none"/>
        </w:rPr>
      </w:pPr>
    </w:p>
    <w:p w14:paraId="6138ACD4">
      <w:pPr>
        <w:pStyle w:val="74"/>
        <w:rPr>
          <w:color w:val="auto"/>
          <w:highlight w:val="none"/>
        </w:rPr>
      </w:pPr>
    </w:p>
    <w:p w14:paraId="4F646AD0">
      <w:pPr>
        <w:pStyle w:val="74"/>
        <w:rPr>
          <w:color w:val="auto"/>
          <w:highlight w:val="none"/>
        </w:rPr>
      </w:pPr>
    </w:p>
    <w:p w14:paraId="2F8EE96F">
      <w:pPr>
        <w:pStyle w:val="74"/>
        <w:rPr>
          <w:color w:val="auto"/>
          <w:highlight w:val="none"/>
        </w:rPr>
      </w:pPr>
    </w:p>
    <w:p w14:paraId="573B0360">
      <w:pPr>
        <w:pStyle w:val="74"/>
        <w:rPr>
          <w:color w:val="auto"/>
          <w:highlight w:val="none"/>
        </w:rPr>
      </w:pPr>
    </w:p>
    <w:p w14:paraId="5D69E0D2">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434" w:name="_Toc28007"/>
      <w:bookmarkStart w:id="435" w:name="_Toc25547"/>
    </w:p>
    <w:p w14:paraId="232EA079">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434"/>
      <w:bookmarkEnd w:id="435"/>
    </w:p>
    <w:p w14:paraId="780F4011">
      <w:pPr>
        <w:rPr>
          <w:rFonts w:ascii="仿宋" w:hAnsi="仿宋" w:eastAsia="仿宋" w:cs="仿宋"/>
          <w:b/>
          <w:bCs/>
          <w:color w:val="auto"/>
          <w:sz w:val="24"/>
          <w:highlight w:val="none"/>
        </w:rPr>
      </w:pPr>
    </w:p>
    <w:p w14:paraId="2EC9546D">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0EB5C2D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37C1C64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2317725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2C8B2AD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4F5A4AE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4D91C81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45044D0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1D83B55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7BC418A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14:paraId="1667495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5B720B6F">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w:t>
      </w:r>
    </w:p>
    <w:p w14:paraId="7ED785F7">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58BAAC5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5A8D00BE">
      <w:pPr>
        <w:spacing w:line="360" w:lineRule="auto"/>
        <w:ind w:firstLine="4245" w:firstLineChars="1762"/>
        <w:rPr>
          <w:rFonts w:asciiTheme="minorEastAsia" w:hAnsiTheme="minorEastAsia" w:eastAsiaTheme="minorEastAsia"/>
          <w:b/>
          <w:bCs/>
          <w:color w:val="auto"/>
          <w:sz w:val="24"/>
          <w:highlight w:val="none"/>
          <w:u w:val="single"/>
        </w:rPr>
      </w:pPr>
      <w:bookmarkStart w:id="436" w:name="_Toc7076"/>
      <w:r>
        <w:rPr>
          <w:rFonts w:hint="eastAsia" w:asciiTheme="minorEastAsia" w:hAnsiTheme="minorEastAsia" w:eastAsiaTheme="minorEastAsia"/>
          <w:b/>
          <w:bCs/>
          <w:color w:val="auto"/>
          <w:sz w:val="24"/>
          <w:highlight w:val="none"/>
        </w:rPr>
        <w:t>供应商签章：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5234B556">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31627BF6">
      <w:pPr>
        <w:rPr>
          <w:rFonts w:hint="eastAsia"/>
          <w:color w:val="auto"/>
          <w:sz w:val="28"/>
          <w:szCs w:val="28"/>
          <w:highlight w:val="none"/>
          <w:lang w:val="en-US" w:eastAsia="zh-CN"/>
        </w:rPr>
      </w:pPr>
    </w:p>
    <w:p w14:paraId="5EBF98C2">
      <w:pPr>
        <w:pStyle w:val="8"/>
        <w:rPr>
          <w:rFonts w:hint="eastAsia"/>
          <w:color w:val="auto"/>
          <w:sz w:val="28"/>
          <w:szCs w:val="28"/>
          <w:highlight w:val="none"/>
          <w:lang w:val="en-US" w:eastAsia="zh-CN"/>
        </w:rPr>
      </w:pPr>
    </w:p>
    <w:p w14:paraId="21B78CB4">
      <w:pPr>
        <w:pStyle w:val="8"/>
        <w:rPr>
          <w:rFonts w:hint="eastAsia"/>
          <w:color w:val="auto"/>
          <w:highlight w:val="none"/>
          <w:lang w:val="en-US" w:eastAsia="zh-CN"/>
        </w:rPr>
      </w:pPr>
    </w:p>
    <w:p w14:paraId="67489CB8">
      <w:pPr>
        <w:rPr>
          <w:rFonts w:hint="eastAsia"/>
          <w:color w:val="auto"/>
          <w:highlight w:val="none"/>
          <w:lang w:val="en-US" w:eastAsia="zh-CN"/>
        </w:rPr>
      </w:pPr>
    </w:p>
    <w:p w14:paraId="790A797F">
      <w:pPr>
        <w:pStyle w:val="8"/>
        <w:jc w:val="center"/>
        <w:rPr>
          <w:rFonts w:hAnsi="宋体"/>
          <w:color w:val="auto"/>
          <w:sz w:val="28"/>
          <w:szCs w:val="28"/>
          <w:highlight w:val="none"/>
        </w:rPr>
      </w:pPr>
      <w:bookmarkStart w:id="437" w:name="_Toc11893"/>
      <w:bookmarkStart w:id="438" w:name="_Toc18069"/>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436"/>
      <w:bookmarkEnd w:id="437"/>
      <w:bookmarkEnd w:id="438"/>
    </w:p>
    <w:p w14:paraId="2929EBAA">
      <w:pPr>
        <w:spacing w:line="360" w:lineRule="auto"/>
        <w:jc w:val="center"/>
        <w:rPr>
          <w:color w:val="auto"/>
          <w:highlight w:val="none"/>
        </w:rPr>
      </w:pPr>
      <w:r>
        <w:rPr>
          <w:rFonts w:hint="eastAsia" w:ascii="宋体" w:hAnsi="宋体"/>
          <w:b/>
          <w:color w:val="auto"/>
          <w:szCs w:val="21"/>
          <w:highlight w:val="none"/>
        </w:rPr>
        <w:t>（非中小企业，不需此件）</w:t>
      </w:r>
    </w:p>
    <w:p w14:paraId="48FC8C09">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4ED2BE0F">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9777A15">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4E587D0">
      <w:pPr>
        <w:spacing w:line="360" w:lineRule="auto"/>
        <w:ind w:firstLine="482" w:firstLineChars="200"/>
        <w:rPr>
          <w:b/>
          <w:color w:val="auto"/>
          <w:sz w:val="24"/>
          <w:szCs w:val="24"/>
          <w:highlight w:val="none"/>
        </w:rPr>
      </w:pPr>
      <w:r>
        <w:rPr>
          <w:b/>
          <w:color w:val="auto"/>
          <w:sz w:val="24"/>
          <w:szCs w:val="24"/>
          <w:highlight w:val="none"/>
        </w:rPr>
        <w:t>……</w:t>
      </w:r>
    </w:p>
    <w:p w14:paraId="0D0A7DAA">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0BCFCA73">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604BF76F">
      <w:pPr>
        <w:pStyle w:val="8"/>
        <w:rPr>
          <w:rFonts w:hint="eastAsia"/>
          <w:color w:val="auto"/>
          <w:highlight w:val="none"/>
          <w:lang w:eastAsia="zh-CN"/>
        </w:rPr>
      </w:pPr>
    </w:p>
    <w:p w14:paraId="5CBACDEC">
      <w:pPr>
        <w:rPr>
          <w:rFonts w:hint="eastAsia"/>
          <w:color w:val="auto"/>
          <w:highlight w:val="none"/>
          <w:lang w:eastAsia="zh-CN"/>
        </w:rPr>
      </w:pPr>
    </w:p>
    <w:p w14:paraId="7B5DA22F">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13A38C89">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7E664D56">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1EB2D106">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5D2DE4F">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439"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0"/>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5A2DE894">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1C95F46F">
      <w:pPr>
        <w:pStyle w:val="8"/>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17E10FBF">
      <w:pPr>
        <w:pStyle w:val="8"/>
        <w:shd w:val="clear" w:color="auto" w:fill="FFFFFF"/>
        <w:jc w:val="center"/>
        <w:rPr>
          <w:rFonts w:hint="eastAsia"/>
          <w:color w:val="auto"/>
          <w:sz w:val="28"/>
          <w:szCs w:val="28"/>
          <w:highlight w:val="none"/>
          <w:lang w:val="en-US" w:eastAsia="zh-CN"/>
        </w:rPr>
      </w:pPr>
    </w:p>
    <w:p w14:paraId="01D53FD9">
      <w:pPr>
        <w:pStyle w:val="8"/>
        <w:shd w:val="clear" w:color="auto" w:fill="FFFFFF"/>
        <w:jc w:val="center"/>
        <w:rPr>
          <w:rFonts w:hint="eastAsia"/>
          <w:color w:val="auto"/>
          <w:sz w:val="28"/>
          <w:szCs w:val="28"/>
          <w:highlight w:val="none"/>
          <w:lang w:val="en-US" w:eastAsia="zh-CN"/>
        </w:rPr>
      </w:pPr>
      <w:bookmarkStart w:id="440" w:name="_Toc9231"/>
      <w:bookmarkStart w:id="441" w:name="_Toc18851"/>
      <w:r>
        <w:rPr>
          <w:rFonts w:hint="eastAsia"/>
          <w:color w:val="auto"/>
          <w:sz w:val="28"/>
          <w:szCs w:val="28"/>
          <w:highlight w:val="none"/>
          <w:lang w:val="en-US" w:eastAsia="zh-CN"/>
        </w:rPr>
        <w:t>八、残疾人福利性单位声明函</w:t>
      </w:r>
      <w:bookmarkEnd w:id="439"/>
      <w:bookmarkEnd w:id="440"/>
      <w:bookmarkEnd w:id="441"/>
    </w:p>
    <w:p w14:paraId="0D026655">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01813630">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4DD5E988">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55E575E5">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12A34E98">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供应商签章：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46F2741B">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4E23405F">
      <w:pPr>
        <w:spacing w:after="152" w:line="259" w:lineRule="auto"/>
        <w:ind w:left="11"/>
        <w:rPr>
          <w:color w:val="auto"/>
          <w:highlight w:val="none"/>
        </w:rPr>
      </w:pPr>
      <w:r>
        <w:rPr>
          <w:color w:val="auto"/>
          <w:highlight w:val="none"/>
        </w:rPr>
        <w:t xml:space="preserve"> </w:t>
      </w:r>
    </w:p>
    <w:p w14:paraId="55DABD9F">
      <w:pPr>
        <w:spacing w:after="222"/>
        <w:ind w:left="19" w:right="2"/>
        <w:rPr>
          <w:color w:val="auto"/>
          <w:highlight w:val="none"/>
        </w:rPr>
      </w:pPr>
      <w:r>
        <w:rPr>
          <w:color w:val="auto"/>
          <w:highlight w:val="none"/>
        </w:rPr>
        <w:t xml:space="preserve">备注： </w:t>
      </w:r>
    </w:p>
    <w:p w14:paraId="5592AD4C">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23E61899">
      <w:pPr>
        <w:ind w:right="480"/>
        <w:jc w:val="center"/>
        <w:rPr>
          <w:rFonts w:ascii="仿宋" w:hAnsi="仿宋" w:eastAsia="仿宋" w:cs="仿宋"/>
          <w:b/>
          <w:bCs/>
          <w:color w:val="auto"/>
          <w:sz w:val="24"/>
          <w:highlight w:val="none"/>
        </w:rPr>
      </w:pPr>
    </w:p>
    <w:p w14:paraId="6F18E57C">
      <w:pPr>
        <w:pStyle w:val="74"/>
        <w:rPr>
          <w:rFonts w:ascii="仿宋" w:hAnsi="仿宋" w:eastAsia="仿宋" w:cs="仿宋"/>
          <w:b/>
          <w:bCs/>
          <w:color w:val="auto"/>
          <w:sz w:val="24"/>
          <w:highlight w:val="none"/>
        </w:rPr>
      </w:pPr>
    </w:p>
    <w:p w14:paraId="134AFC86">
      <w:pPr>
        <w:pStyle w:val="74"/>
        <w:rPr>
          <w:rFonts w:ascii="仿宋" w:hAnsi="仿宋" w:eastAsia="仿宋" w:cs="仿宋"/>
          <w:b/>
          <w:bCs/>
          <w:color w:val="auto"/>
          <w:sz w:val="24"/>
          <w:highlight w:val="none"/>
        </w:rPr>
      </w:pPr>
    </w:p>
    <w:p w14:paraId="2ADE498B">
      <w:pPr>
        <w:pStyle w:val="74"/>
        <w:rPr>
          <w:rFonts w:ascii="仿宋" w:hAnsi="仿宋" w:eastAsia="仿宋" w:cs="仿宋"/>
          <w:b/>
          <w:bCs/>
          <w:color w:val="auto"/>
          <w:sz w:val="24"/>
          <w:highlight w:val="none"/>
        </w:rPr>
      </w:pPr>
    </w:p>
    <w:p w14:paraId="4F475EBE">
      <w:pPr>
        <w:pStyle w:val="74"/>
        <w:rPr>
          <w:rFonts w:ascii="仿宋" w:hAnsi="仿宋" w:eastAsia="仿宋" w:cs="仿宋"/>
          <w:b/>
          <w:bCs/>
          <w:color w:val="auto"/>
          <w:sz w:val="24"/>
          <w:highlight w:val="none"/>
        </w:rPr>
      </w:pPr>
    </w:p>
    <w:p w14:paraId="0B94D221">
      <w:pPr>
        <w:pStyle w:val="74"/>
        <w:rPr>
          <w:rFonts w:ascii="仿宋" w:hAnsi="仿宋" w:eastAsia="仿宋" w:cs="仿宋"/>
          <w:b/>
          <w:bCs/>
          <w:color w:val="auto"/>
          <w:sz w:val="24"/>
          <w:highlight w:val="none"/>
        </w:rPr>
      </w:pPr>
    </w:p>
    <w:p w14:paraId="363B6F60">
      <w:pPr>
        <w:ind w:right="480"/>
        <w:jc w:val="both"/>
        <w:rPr>
          <w:rFonts w:ascii="仿宋" w:hAnsi="仿宋" w:eastAsia="仿宋" w:cs="仿宋"/>
          <w:b/>
          <w:bCs/>
          <w:color w:val="auto"/>
          <w:sz w:val="24"/>
          <w:highlight w:val="none"/>
        </w:rPr>
      </w:pPr>
    </w:p>
    <w:p w14:paraId="5B516D43">
      <w:pPr>
        <w:pStyle w:val="8"/>
        <w:numPr>
          <w:ilvl w:val="0"/>
          <w:numId w:val="0"/>
        </w:numPr>
        <w:shd w:val="clear" w:color="auto" w:fill="FFFFFF"/>
        <w:ind w:left="420" w:leftChars="0"/>
        <w:jc w:val="center"/>
        <w:rPr>
          <w:rFonts w:hint="eastAsia"/>
          <w:color w:val="auto"/>
          <w:highlight w:val="none"/>
          <w:lang w:val="en-US" w:eastAsia="zh-CN"/>
        </w:rPr>
      </w:pPr>
      <w:bookmarkStart w:id="442" w:name="_Toc16227"/>
      <w:bookmarkStart w:id="443" w:name="_Toc7701"/>
      <w:r>
        <w:rPr>
          <w:rFonts w:hint="eastAsia"/>
          <w:color w:val="auto"/>
          <w:sz w:val="28"/>
          <w:szCs w:val="28"/>
          <w:highlight w:val="none"/>
          <w:lang w:val="en-US" w:eastAsia="zh-CN"/>
        </w:rPr>
        <w:t>九、供应商声明函</w:t>
      </w:r>
      <w:bookmarkEnd w:id="442"/>
      <w:bookmarkEnd w:id="443"/>
    </w:p>
    <w:p w14:paraId="61E117E0">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1033A5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44" w:name="_Toc14318"/>
      <w:bookmarkStart w:id="445" w:name="_Toc8606"/>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bookmarkEnd w:id="444"/>
      <w:bookmarkEnd w:id="445"/>
    </w:p>
    <w:p w14:paraId="7E5E25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46" w:name="_Toc1876"/>
      <w:bookmarkStart w:id="447" w:name="_Toc29160"/>
      <w:r>
        <w:rPr>
          <w:rFonts w:hint="eastAsia" w:asciiTheme="minorEastAsia" w:hAnsiTheme="minorEastAsia" w:eastAsiaTheme="minorEastAsia" w:cstheme="minorEastAsia"/>
          <w:color w:val="auto"/>
          <w:kern w:val="0"/>
          <w:sz w:val="24"/>
          <w:szCs w:val="24"/>
          <w:highlight w:val="none"/>
          <w:lang w:val="en-US" w:eastAsia="zh-CN" w:bidi="ar"/>
        </w:rPr>
        <w:t>1、本单位郑重声明：我单位完全符合《中华人民共和国政府采购法》第二十二条规定及本项目所要求的资格条件：</w:t>
      </w:r>
      <w:bookmarkEnd w:id="446"/>
      <w:bookmarkEnd w:id="447"/>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0E1FE9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48" w:name="_Toc3994"/>
      <w:bookmarkStart w:id="449" w:name="_Toc27763"/>
      <w:r>
        <w:rPr>
          <w:rFonts w:hint="eastAsia" w:asciiTheme="minorEastAsia" w:hAnsiTheme="minorEastAsia" w:eastAsiaTheme="minorEastAsia" w:cstheme="minorEastAsia"/>
          <w:color w:val="auto"/>
          <w:kern w:val="0"/>
          <w:sz w:val="24"/>
          <w:szCs w:val="24"/>
          <w:highlight w:val="none"/>
          <w:lang w:val="en-US" w:eastAsia="zh-CN" w:bidi="ar"/>
        </w:rPr>
        <w:t>（1）具有独立承担民事责任的能力；</w:t>
      </w:r>
      <w:bookmarkEnd w:id="448"/>
      <w:bookmarkEnd w:id="449"/>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50EA1C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50" w:name="_Toc28757"/>
      <w:bookmarkStart w:id="451" w:name="_Toc1221"/>
      <w:r>
        <w:rPr>
          <w:rFonts w:hint="eastAsia" w:asciiTheme="minorEastAsia" w:hAnsiTheme="minorEastAsia" w:eastAsiaTheme="minorEastAsia" w:cstheme="minorEastAsia"/>
          <w:color w:val="auto"/>
          <w:kern w:val="0"/>
          <w:sz w:val="24"/>
          <w:szCs w:val="24"/>
          <w:highlight w:val="none"/>
          <w:lang w:val="en-US" w:eastAsia="zh-CN" w:bidi="ar"/>
        </w:rPr>
        <w:t>（2）具有良好的商业信誉和健全的财务会计制度；</w:t>
      </w:r>
      <w:bookmarkEnd w:id="450"/>
      <w:bookmarkEnd w:id="451"/>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4DEEE2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52" w:name="_Toc1390"/>
      <w:bookmarkStart w:id="453" w:name="_Toc2720"/>
      <w:r>
        <w:rPr>
          <w:rFonts w:hint="eastAsia" w:asciiTheme="minorEastAsia" w:hAnsiTheme="minorEastAsia" w:eastAsiaTheme="minorEastAsia" w:cstheme="minorEastAsia"/>
          <w:color w:val="auto"/>
          <w:kern w:val="0"/>
          <w:sz w:val="24"/>
          <w:szCs w:val="24"/>
          <w:highlight w:val="none"/>
          <w:lang w:val="en-US" w:eastAsia="zh-CN" w:bidi="ar"/>
        </w:rPr>
        <w:t>（3）具有履行合同所必需的设备和专业技术能力；</w:t>
      </w:r>
      <w:bookmarkEnd w:id="452"/>
      <w:bookmarkEnd w:id="453"/>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6E3259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54" w:name="_Toc2173"/>
      <w:bookmarkStart w:id="455" w:name="_Toc1159"/>
      <w:r>
        <w:rPr>
          <w:rFonts w:hint="eastAsia" w:asciiTheme="minorEastAsia" w:hAnsiTheme="minorEastAsia" w:eastAsiaTheme="minorEastAsia" w:cstheme="minorEastAsia"/>
          <w:color w:val="auto"/>
          <w:kern w:val="0"/>
          <w:sz w:val="24"/>
          <w:szCs w:val="24"/>
          <w:highlight w:val="none"/>
          <w:lang w:val="en-US" w:eastAsia="zh-CN" w:bidi="ar"/>
        </w:rPr>
        <w:t>（4）有依法缴纳税收和社会保障资金的良好记录；</w:t>
      </w:r>
      <w:bookmarkEnd w:id="454"/>
      <w:bookmarkEnd w:id="455"/>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061DF5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56" w:name="_Toc10799"/>
      <w:bookmarkStart w:id="457" w:name="_Toc25112"/>
      <w:r>
        <w:rPr>
          <w:rFonts w:hint="eastAsia" w:asciiTheme="minorEastAsia" w:hAnsiTheme="minorEastAsia" w:eastAsiaTheme="minorEastAsia" w:cstheme="minorEastAsia"/>
          <w:color w:val="auto"/>
          <w:kern w:val="0"/>
          <w:sz w:val="24"/>
          <w:szCs w:val="24"/>
          <w:highlight w:val="none"/>
          <w:lang w:val="en-US" w:eastAsia="zh-CN" w:bidi="ar"/>
        </w:rPr>
        <w:t>（5）参加政府采购活动前三年内，在经营活动中没有重大违法记录，包括：我单位因违法经营受到刑事处罚或者责令停产停业、吊销许可证或者执照、较大数额罚款等行政处罚；</w:t>
      </w:r>
      <w:bookmarkEnd w:id="456"/>
      <w:bookmarkEnd w:id="457"/>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52CD52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58" w:name="_Toc28516"/>
      <w:bookmarkStart w:id="459" w:name="_Toc7626"/>
      <w:r>
        <w:rPr>
          <w:rFonts w:hint="eastAsia" w:asciiTheme="minorEastAsia" w:hAnsiTheme="minorEastAsia" w:eastAsiaTheme="minorEastAsia" w:cstheme="minorEastAsia"/>
          <w:color w:val="auto"/>
          <w:kern w:val="0"/>
          <w:sz w:val="24"/>
          <w:szCs w:val="24"/>
          <w:highlight w:val="none"/>
          <w:lang w:val="en-US" w:eastAsia="zh-CN" w:bidi="ar"/>
        </w:rPr>
        <w:t>（6）我单位不在财政部门依法作出的禁止参加政府采购活动的行政处罚期限内；</w:t>
      </w:r>
      <w:bookmarkEnd w:id="458"/>
      <w:bookmarkEnd w:id="459"/>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08A534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60" w:name="_Toc32280"/>
      <w:bookmarkStart w:id="461" w:name="_Toc14972"/>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bookmarkEnd w:id="460"/>
      <w:bookmarkEnd w:id="461"/>
    </w:p>
    <w:p w14:paraId="2EF2FF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62" w:name="_Toc13831"/>
      <w:bookmarkStart w:id="463" w:name="_Toc24413"/>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bookmarkEnd w:id="462"/>
      <w:bookmarkEnd w:id="463"/>
    </w:p>
    <w:p w14:paraId="011D3A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64" w:name="_Toc5989"/>
      <w:bookmarkStart w:id="465" w:name="_Toc16349"/>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bookmarkEnd w:id="464"/>
      <w:bookmarkEnd w:id="465"/>
    </w:p>
    <w:p w14:paraId="6CA58C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66" w:name="_Toc13819"/>
      <w:bookmarkStart w:id="467" w:name="_Toc19489"/>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bookmarkEnd w:id="466"/>
      <w:bookmarkEnd w:id="467"/>
    </w:p>
    <w:p w14:paraId="461233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68" w:name="_Toc11771"/>
      <w:bookmarkStart w:id="469" w:name="_Toc5656"/>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bookmarkEnd w:id="468"/>
      <w:bookmarkEnd w:id="469"/>
    </w:p>
    <w:p w14:paraId="0A34BA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70" w:name="_Toc1194"/>
      <w:bookmarkStart w:id="471" w:name="_Toc30290"/>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）被政府采购监管部门列入政府采购严重违法失信行为记录名单。</w:t>
      </w:r>
      <w:bookmarkEnd w:id="470"/>
      <w:bookmarkEnd w:id="471"/>
      <w:r>
        <w:rPr>
          <w:rFonts w:hint="eastAsia" w:asciiTheme="minorEastAsia" w:hAnsiTheme="minorEastAsia" w:eastAsiaTheme="minorEastAsia" w:cstheme="minorEastAsia"/>
          <w:color w:val="auto"/>
          <w:kern w:val="0"/>
          <w:sz w:val="24"/>
          <w:szCs w:val="24"/>
          <w:highlight w:val="none"/>
          <w:lang w:val="en-US" w:eastAsia="zh-CN" w:bidi="ar"/>
        </w:rPr>
        <w:t xml:space="preserve">                        </w:t>
      </w:r>
    </w:p>
    <w:p w14:paraId="6F98B9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bookmarkStart w:id="472" w:name="_Toc30558"/>
      <w:bookmarkStart w:id="473" w:name="_Toc7000"/>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bookmarkEnd w:id="472"/>
      <w:bookmarkEnd w:id="473"/>
    </w:p>
    <w:p w14:paraId="2DF11E7F">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供应商签章：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2490D65D">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6382966F">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292F3E29">
      <w:pPr>
        <w:pStyle w:val="74"/>
        <w:rPr>
          <w:rFonts w:hint="eastAsia"/>
          <w:color w:val="auto"/>
          <w:highlight w:val="none"/>
          <w:lang w:eastAsia="zh-CN"/>
        </w:rPr>
      </w:pPr>
    </w:p>
    <w:p w14:paraId="3947A72F">
      <w:pPr>
        <w:pStyle w:val="74"/>
        <w:rPr>
          <w:rFonts w:hint="eastAsia"/>
          <w:color w:val="auto"/>
          <w:highlight w:val="none"/>
          <w:lang w:eastAsia="zh-CN"/>
        </w:rPr>
      </w:pPr>
    </w:p>
    <w:p w14:paraId="7400B68D">
      <w:pPr>
        <w:pStyle w:val="74"/>
        <w:rPr>
          <w:rFonts w:hint="eastAsia"/>
          <w:color w:val="auto"/>
          <w:highlight w:val="none"/>
          <w:lang w:eastAsia="zh-CN"/>
        </w:rPr>
      </w:pPr>
    </w:p>
    <w:p w14:paraId="7A6DEB32">
      <w:pPr>
        <w:spacing w:line="360" w:lineRule="auto"/>
        <w:jc w:val="center"/>
        <w:outlineLvl w:val="1"/>
        <w:rPr>
          <w:rFonts w:asciiTheme="minorEastAsia" w:hAnsiTheme="minorEastAsia" w:eastAsiaTheme="minorEastAsia"/>
          <w:b/>
          <w:color w:val="auto"/>
          <w:sz w:val="28"/>
          <w:szCs w:val="28"/>
          <w:highlight w:val="none"/>
        </w:rPr>
      </w:pPr>
      <w:bookmarkStart w:id="474" w:name="_Toc6355"/>
      <w:bookmarkStart w:id="475" w:name="_Toc25789"/>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bookmarkEnd w:id="474"/>
      <w:bookmarkEnd w:id="475"/>
    </w:p>
    <w:p w14:paraId="63B57B6C">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68823D62">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127F8C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37652D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7F30E25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61D0FC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101391D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3E0DFD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FBBA77F">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23E0CF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40972000">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069E328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3FC3110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28E918E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3DBA48D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1E3DCB8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C86CC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2B7E7D0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32E3D5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3A3E8F80">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5173DDC">
      <w:pPr>
        <w:pStyle w:val="8"/>
        <w:shd w:val="clear" w:color="auto" w:fill="FFFFFF"/>
        <w:jc w:val="center"/>
        <w:rPr>
          <w:rFonts w:hint="eastAsia"/>
          <w:color w:val="auto"/>
          <w:sz w:val="28"/>
          <w:szCs w:val="28"/>
          <w:highlight w:val="none"/>
          <w:lang w:val="en-US" w:eastAsia="zh-CN"/>
        </w:rPr>
        <w:sectPr>
          <w:footerReference r:id="rId13" w:type="default"/>
          <w:pgSz w:w="11906" w:h="16838"/>
          <w:pgMar w:top="1418" w:right="1418" w:bottom="1276" w:left="1418" w:header="680" w:footer="680" w:gutter="0"/>
          <w:pgNumType w:fmt="decimal"/>
          <w:cols w:space="720" w:num="1"/>
          <w:docGrid w:type="lines" w:linePitch="312" w:charSpace="0"/>
        </w:sectPr>
      </w:pPr>
      <w:bookmarkStart w:id="476" w:name="_Toc22272"/>
      <w:bookmarkStart w:id="477" w:name="_Toc26186"/>
    </w:p>
    <w:p w14:paraId="0D137103">
      <w:pPr>
        <w:pStyle w:val="8"/>
        <w:shd w:val="clear" w:color="auto" w:fill="FFFFFF"/>
        <w:jc w:val="center"/>
        <w:rPr>
          <w:rFonts w:hint="eastAsia"/>
          <w:color w:val="auto"/>
          <w:sz w:val="28"/>
          <w:szCs w:val="28"/>
          <w:highlight w:val="none"/>
          <w:lang w:val="en-US" w:eastAsia="zh-CN"/>
        </w:rPr>
      </w:pPr>
      <w:bookmarkStart w:id="478" w:name="_Toc26304"/>
      <w:bookmarkStart w:id="479" w:name="_Toc2567"/>
      <w:r>
        <w:rPr>
          <w:rFonts w:hint="eastAsia"/>
          <w:color w:val="auto"/>
          <w:sz w:val="28"/>
          <w:szCs w:val="28"/>
          <w:highlight w:val="none"/>
          <w:lang w:val="en-US" w:eastAsia="zh-CN"/>
        </w:rPr>
        <w:t>十一、证明</w:t>
      </w:r>
      <w:bookmarkEnd w:id="476"/>
      <w:bookmarkEnd w:id="477"/>
      <w:r>
        <w:rPr>
          <w:rFonts w:hint="eastAsia"/>
          <w:color w:val="auto"/>
          <w:sz w:val="28"/>
          <w:szCs w:val="28"/>
          <w:highlight w:val="none"/>
          <w:lang w:val="en-US" w:eastAsia="zh-CN"/>
        </w:rPr>
        <w:t>资料</w:t>
      </w:r>
      <w:bookmarkEnd w:id="478"/>
      <w:bookmarkEnd w:id="479"/>
    </w:p>
    <w:p w14:paraId="3A1F78A2">
      <w:pPr>
        <w:spacing w:line="360" w:lineRule="auto"/>
        <w:ind w:firstLine="420" w:firstLineChars="200"/>
        <w:rPr>
          <w:rFonts w:hint="eastAsia" w:ascii="宋体" w:hAnsi="宋体"/>
          <w:color w:val="auto"/>
          <w:szCs w:val="21"/>
          <w:highlight w:val="none"/>
          <w:lang w:val="en-US" w:eastAsia="zh-CN"/>
        </w:rPr>
      </w:pPr>
    </w:p>
    <w:p w14:paraId="69F9D953">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71724DFC">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79B0CC16">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19DD084D">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4、须提供上述证明材料复印件或扫描件或影印件，加盖供应商电子签章。</w:t>
      </w:r>
    </w:p>
    <w:p w14:paraId="1E755F94">
      <w:pPr>
        <w:pStyle w:val="74"/>
        <w:rPr>
          <w:rFonts w:hint="default"/>
          <w:color w:val="auto"/>
          <w:highlight w:val="none"/>
          <w:lang w:val="en-US" w:eastAsia="zh-CN"/>
        </w:rPr>
      </w:pPr>
    </w:p>
    <w:p w14:paraId="5E0FE474">
      <w:pPr>
        <w:pStyle w:val="74"/>
        <w:rPr>
          <w:rFonts w:hint="default"/>
          <w:color w:val="auto"/>
          <w:highlight w:val="none"/>
          <w:lang w:val="en-US" w:eastAsia="zh-CN"/>
        </w:rPr>
      </w:pPr>
    </w:p>
    <w:p w14:paraId="40505B75">
      <w:pPr>
        <w:widowControl/>
        <w:jc w:val="left"/>
        <w:rPr>
          <w:rFonts w:ascii="宋体" w:hAnsi="宋体"/>
          <w:color w:val="auto"/>
          <w:szCs w:val="21"/>
          <w:highlight w:val="none"/>
        </w:rPr>
      </w:pPr>
      <w:r>
        <w:rPr>
          <w:rFonts w:ascii="宋体" w:hAnsi="宋体"/>
          <w:color w:val="auto"/>
          <w:szCs w:val="21"/>
          <w:highlight w:val="none"/>
        </w:rPr>
        <w:br w:type="page"/>
      </w:r>
    </w:p>
    <w:p w14:paraId="2F504075">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55550835">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7EA413CA">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54BECF29">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7A784A0F">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12722A2F">
      <w:pPr>
        <w:spacing w:line="360" w:lineRule="auto"/>
        <w:rPr>
          <w:rFonts w:asciiTheme="minorEastAsia" w:hAnsiTheme="minorEastAsia" w:eastAsiaTheme="minorEastAsia"/>
          <w:color w:val="auto"/>
          <w:sz w:val="24"/>
          <w:highlight w:val="none"/>
        </w:rPr>
      </w:pPr>
    </w:p>
    <w:p w14:paraId="1DAA315C">
      <w:pPr>
        <w:spacing w:line="360" w:lineRule="auto"/>
        <w:ind w:firstLine="435"/>
        <w:rPr>
          <w:rFonts w:asciiTheme="minorEastAsia" w:hAnsiTheme="minorEastAsia" w:eastAsiaTheme="minorEastAsia"/>
          <w:color w:val="auto"/>
          <w:sz w:val="24"/>
          <w:highlight w:val="none"/>
        </w:rPr>
      </w:pPr>
    </w:p>
    <w:p w14:paraId="1B57E4DD">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5E440850">
      <w:pPr>
        <w:spacing w:line="360" w:lineRule="auto"/>
        <w:ind w:firstLine="435"/>
        <w:rPr>
          <w:rFonts w:hAnsi="宋体"/>
          <w:color w:val="auto"/>
          <w:sz w:val="24"/>
          <w:szCs w:val="28"/>
          <w:highlight w:val="none"/>
          <w:lang w:val="zh-CN"/>
        </w:rPr>
      </w:pPr>
    </w:p>
    <w:p w14:paraId="385C13A5">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1577296C">
      <w:pPr>
        <w:spacing w:line="360" w:lineRule="auto"/>
        <w:rPr>
          <w:rFonts w:ascii="宋体" w:hAnsi="宋体"/>
          <w:color w:val="auto"/>
          <w:sz w:val="24"/>
          <w:szCs w:val="28"/>
          <w:highlight w:val="none"/>
        </w:rPr>
      </w:pPr>
    </w:p>
    <w:p w14:paraId="2BB1B169">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供应商电子签章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p>
    <w:p w14:paraId="44743A1D">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262C51E7">
      <w:pPr>
        <w:spacing w:line="360" w:lineRule="auto"/>
        <w:ind w:firstLine="435"/>
        <w:rPr>
          <w:rFonts w:asciiTheme="minorEastAsia" w:hAnsiTheme="minorEastAsia" w:eastAsiaTheme="minorEastAsia"/>
          <w:color w:val="auto"/>
          <w:sz w:val="24"/>
          <w:highlight w:val="none"/>
        </w:rPr>
      </w:pPr>
    </w:p>
    <w:p w14:paraId="19D9806E">
      <w:pPr>
        <w:spacing w:line="360" w:lineRule="auto"/>
        <w:ind w:firstLine="435"/>
        <w:rPr>
          <w:rFonts w:asciiTheme="minorEastAsia" w:hAnsiTheme="minorEastAsia" w:eastAsiaTheme="minorEastAsia"/>
          <w:color w:val="auto"/>
          <w:sz w:val="24"/>
          <w:highlight w:val="none"/>
        </w:rPr>
      </w:pPr>
    </w:p>
    <w:p w14:paraId="1FEAA81E">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50309F80">
      <w:pPr>
        <w:rPr>
          <w:rFonts w:hint="eastAsia"/>
          <w:color w:val="auto"/>
          <w:highlight w:val="none"/>
          <w:lang w:val="en-US" w:eastAsia="zh-CN"/>
        </w:rPr>
      </w:pPr>
      <w:bookmarkStart w:id="480" w:name="_Toc12703"/>
      <w:bookmarkStart w:id="481" w:name="_Toc2700"/>
      <w:bookmarkStart w:id="482" w:name="_Toc8573"/>
      <w:bookmarkStart w:id="483" w:name="_Toc32741"/>
      <w:r>
        <w:rPr>
          <w:rFonts w:hint="eastAsia"/>
          <w:color w:val="auto"/>
          <w:highlight w:val="none"/>
          <w:lang w:val="en-US" w:eastAsia="zh-CN"/>
        </w:rPr>
        <w:br w:type="page"/>
      </w:r>
    </w:p>
    <w:p w14:paraId="062FBEAB">
      <w:pPr>
        <w:pStyle w:val="2"/>
        <w:numPr>
          <w:ilvl w:val="0"/>
          <w:numId w:val="0"/>
        </w:numPr>
        <w:tabs>
          <w:tab w:val="clear" w:pos="1440"/>
          <w:tab w:val="clear" w:pos="5670"/>
        </w:tabs>
        <w:jc w:val="center"/>
        <w:rPr>
          <w:color w:val="auto"/>
          <w:highlight w:val="none"/>
        </w:rPr>
      </w:pPr>
      <w:bookmarkStart w:id="484" w:name="_Toc21797"/>
      <w:r>
        <w:rPr>
          <w:rFonts w:hint="eastAsia"/>
          <w:color w:val="auto"/>
          <w:highlight w:val="none"/>
          <w:lang w:val="en-US" w:eastAsia="zh-CN"/>
        </w:rPr>
        <w:t xml:space="preserve">第七章  </w:t>
      </w:r>
      <w:r>
        <w:rPr>
          <w:rFonts w:hint="eastAsia"/>
          <w:color w:val="auto"/>
          <w:highlight w:val="none"/>
        </w:rPr>
        <w:t>政府采购供应商质疑函范本</w:t>
      </w:r>
      <w:bookmarkEnd w:id="480"/>
      <w:bookmarkEnd w:id="481"/>
      <w:bookmarkEnd w:id="482"/>
      <w:bookmarkEnd w:id="483"/>
      <w:bookmarkEnd w:id="484"/>
    </w:p>
    <w:p w14:paraId="21884A30">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094114AC">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59AA697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4B339C8E">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E976A4C">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62626A8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4B327F92">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6A1C2D5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2213411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5F184D9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1BAF4377">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0C5B5C2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2D1F5D2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59225961">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7BBFE0F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3B1EDBB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0D83755D">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5CA8E211">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0F6B9B9B">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1AE6C0FE">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030B612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3ED28824">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1C42E9F7">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4D761E8F">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22B14553">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1873BDA3">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5423B3B">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46BC33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A3100D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1CCA62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4A57FF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7C78E22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2D3F60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74B4E177">
      <w:pPr>
        <w:spacing w:line="360" w:lineRule="auto"/>
        <w:ind w:firstLine="608" w:firstLineChars="300"/>
        <w:rPr>
          <w:rFonts w:ascii="宋体" w:cs="宋体"/>
          <w:b/>
          <w:color w:val="auto"/>
          <w:spacing w:val="-4"/>
          <w:kern w:val="0"/>
          <w:szCs w:val="21"/>
          <w:highlight w:val="none"/>
        </w:rPr>
      </w:pPr>
    </w:p>
    <w:sectPr>
      <w:headerReference r:id="rId14" w:type="default"/>
      <w:footerReference r:id="rId1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Dotum">
    <w:altName w:val="Malgun Gothic"/>
    <w:panose1 w:val="020B0600000101010101"/>
    <w:charset w:val="81"/>
    <w:family w:val="swiss"/>
    <w:pitch w:val="default"/>
    <w:sig w:usb0="00000000" w:usb1="00000000" w:usb2="00000030" w:usb3="00000000" w:csb0="0008009F" w:csb1="00000000"/>
  </w:font>
  <w:font w:name="sans-serif">
    <w:altName w:val="华文中宋"/>
    <w:panose1 w:val="00000000000000000000"/>
    <w:charset w:val="00"/>
    <w:family w:val="auto"/>
    <w:pitch w:val="default"/>
    <w:sig w:usb0="00000000" w:usb1="00000000" w:usb2="00000000" w:usb3="00000000" w:csb0="00000000" w:csb1="00000000"/>
  </w:font>
  <w:font w:name="ËÎÌå">
    <w:altName w:val="华文中宋"/>
    <w:panose1 w:val="00000000000000000000"/>
    <w:charset w:val="00"/>
    <w:family w:val="auto"/>
    <w:pitch w:val="default"/>
    <w:sig w:usb0="00000000" w:usb1="00000000" w:usb2="00000000" w:usb3="00000000" w:csb0="00000000" w:csb1="00000000"/>
  </w:font>
  <w:font w:name="䅂䍄䕅⯋컌">
    <w:altName w:val="华文中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2FAF7">
    <w:pPr>
      <w:pStyle w:val="37"/>
      <w:jc w:val="center"/>
      <w:rPr>
        <w:rFonts w:ascii="宋体"/>
      </w:rPr>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7E1E1EB">
                <w:pPr>
                  <w:pStyle w:val="37"/>
                </w:pP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E3916">
    <w:pPr>
      <w:pStyle w:val="37"/>
      <w:jc w:val="both"/>
      <w:rPr>
        <w:rFonts w:ascii="宋体"/>
      </w:rPr>
    </w:pPr>
    <w:r>
      <w:rPr>
        <w:sz w:val="18"/>
      </w:rPr>
      <w:pict>
        <v:shape id="_x0000_s4157" o:spid="_x0000_s415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7F77BA0E">
                <w:pPr>
                  <w:pStyle w:val="37"/>
                </w:pPr>
                <w:r>
                  <w:fldChar w:fldCharType="begin"/>
                </w:r>
                <w:r>
                  <w:instrText xml:space="preserve"> PAGE  \* MERGEFORMAT </w:instrText>
                </w:r>
                <w:r>
                  <w:fldChar w:fldCharType="separate"/>
                </w:r>
                <w:r>
                  <w:t>45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E085F">
    <w:pPr>
      <w:pStyle w:val="37"/>
      <w:jc w:val="center"/>
      <w:rPr>
        <w:rFonts w:ascii="宋体"/>
      </w:rPr>
    </w:pPr>
    <w:r>
      <w:rPr>
        <w:sz w:val="18"/>
      </w:rPr>
      <w:pict>
        <v:shape id="_x0000_s4159" o:spid="_x0000_s4159"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4B92D39">
                <w:pPr>
                  <w:pStyle w:val="37"/>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C92FB">
    <w:pPr>
      <w:spacing w:before="58" w:line="209" w:lineRule="auto"/>
      <w:ind w:left="4342"/>
      <w:rPr>
        <w:rFonts w:ascii="宋体" w:hAnsi="宋体" w:eastAsia="宋体" w:cs="宋体"/>
        <w:sz w:val="18"/>
        <w:szCs w:val="18"/>
      </w:rPr>
    </w:pPr>
    <w:r>
      <w:rPr>
        <w:sz w:val="18"/>
      </w:rPr>
      <w:pict>
        <v:shape id="_x0000_s4150" o:spid="_x0000_s41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3C08EC35">
                <w:pPr>
                  <w:pStyle w:val="37"/>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45308">
    <w:pPr>
      <w:spacing w:before="58" w:line="209" w:lineRule="auto"/>
      <w:ind w:left="4181"/>
      <w:rPr>
        <w:rFonts w:ascii="宋体" w:hAnsi="宋体" w:eastAsia="宋体" w:cs="宋体"/>
        <w:sz w:val="18"/>
        <w:szCs w:val="18"/>
      </w:rPr>
    </w:pPr>
    <w:r>
      <w:rPr>
        <w:sz w:val="18"/>
      </w:rPr>
      <w:pict>
        <v:shape id="_x0000_s4151" o:spid="_x0000_s41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9D92CA7">
                <w:pPr>
                  <w:pStyle w:val="37"/>
                </w:pPr>
                <w:r>
                  <w:fldChar w:fldCharType="begin"/>
                </w:r>
                <w:r>
                  <w:instrText xml:space="preserve"> PAGE  \* MERGEFORMAT </w:instrText>
                </w:r>
                <w:r>
                  <w:fldChar w:fldCharType="separate"/>
                </w:r>
                <w:r>
                  <w:t>22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D724B">
    <w:pPr>
      <w:pStyle w:val="37"/>
    </w:pPr>
    <w:r>
      <w:rPr>
        <w:sz w:val="18"/>
      </w:rPr>
      <w:pict>
        <v:shape id="_x0000_s4152" o:spid="_x0000_s41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059C2FD0">
                <w:pPr>
                  <w:pStyle w:val="37"/>
                </w:pPr>
                <w:r>
                  <w:fldChar w:fldCharType="begin"/>
                </w:r>
                <w:r>
                  <w:instrText xml:space="preserve"> PAGE  \* MERGEFORMAT </w:instrText>
                </w:r>
                <w:r>
                  <w:fldChar w:fldCharType="separate"/>
                </w:r>
                <w:r>
                  <w:t>33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C50E">
    <w:pPr>
      <w:pStyle w:val="37"/>
      <w:pBdr>
        <w:top w:val="single" w:color="auto" w:sz="4" w:space="1"/>
      </w:pBdr>
      <w:jc w:val="center"/>
    </w:pPr>
    <w:r>
      <w:rPr>
        <w:sz w:val="18"/>
      </w:rPr>
      <w:pict>
        <v:shape id="_x0000_s4153" o:spid="_x0000_s415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3063AACF">
                <w:pPr>
                  <w:pStyle w:val="37"/>
                </w:pPr>
                <w:r>
                  <w:fldChar w:fldCharType="begin"/>
                </w:r>
                <w:r>
                  <w:instrText xml:space="preserve"> PAGE  \* MERGEFORMAT </w:instrText>
                </w:r>
                <w:r>
                  <w:fldChar w:fldCharType="separate"/>
                </w:r>
                <w:r>
                  <w:t>36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44C7">
    <w:pPr>
      <w:pStyle w:val="37"/>
      <w:pBdr>
        <w:top w:val="single" w:color="auto" w:sz="4" w:space="1"/>
      </w:pBdr>
      <w:jc w:val="center"/>
    </w:pPr>
    <w:r>
      <w:rPr>
        <w:sz w:val="18"/>
      </w:rPr>
      <w:pict>
        <v:shape id="_x0000_s4154" o:spid="_x0000_s415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1FD39A0">
                <w:pPr>
                  <w:pStyle w:val="37"/>
                </w:pPr>
                <w:r>
                  <w:fldChar w:fldCharType="begin"/>
                </w:r>
                <w:r>
                  <w:instrText xml:space="preserve"> PAGE  \* MERGEFORMAT </w:instrText>
                </w:r>
                <w:r>
                  <w:fldChar w:fldCharType="separate"/>
                </w:r>
                <w:r>
                  <w:t>37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D268">
    <w:pPr>
      <w:pStyle w:val="37"/>
      <w:pBdr>
        <w:top w:val="single" w:color="auto" w:sz="4" w:space="1"/>
      </w:pBdr>
      <w:jc w:val="center"/>
    </w:pPr>
    <w:r>
      <w:rPr>
        <w:sz w:val="18"/>
      </w:rPr>
      <w:pict>
        <v:shape id="_x0000_s4155" o:spid="_x0000_s41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7CBFE705">
                <w:pPr>
                  <w:pStyle w:val="37"/>
                </w:pPr>
                <w:r>
                  <w:fldChar w:fldCharType="begin"/>
                </w:r>
                <w:r>
                  <w:instrText xml:space="preserve"> PAGE  \* MERGEFORMAT </w:instrText>
                </w:r>
                <w:r>
                  <w:fldChar w:fldCharType="separate"/>
                </w:r>
                <w:r>
                  <w:t>38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9604B">
    <w:pPr>
      <w:pStyle w:val="37"/>
      <w:pBdr>
        <w:top w:val="single" w:color="auto" w:sz="4" w:space="1"/>
      </w:pBdr>
      <w:jc w:val="center"/>
    </w:pPr>
    <w:r>
      <w:rPr>
        <w:sz w:val="18"/>
      </w:rPr>
      <w:pict>
        <v:shape id="_x0000_s4156" o:spid="_x0000_s415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150641D">
                <w:pPr>
                  <w:pStyle w:val="37"/>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7556B">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A64EF">
    <w:pPr>
      <w:pBdr>
        <w:bottom w:val="single" w:color="auto" w:sz="4" w:space="0"/>
      </w:pBdr>
      <w:spacing w:before="19" w:line="35" w:lineRule="exact"/>
      <w:ind w:firstLine="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F7F26">
    <w:pPr>
      <w:pBdr>
        <w:bottom w:val="single" w:color="auto" w:sz="4" w:space="0"/>
      </w:pBdr>
      <w:jc w:val="center"/>
      <w:rPr>
        <w:rFonts w:eastAsia="楷体_GB2312"/>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2">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3">
    <w:nsid w:val="0000000D"/>
    <w:multiLevelType w:val="singleLevel"/>
    <w:tmpl w:val="0000000D"/>
    <w:lvl w:ilvl="0" w:tentative="0">
      <w:start w:val="2"/>
      <w:numFmt w:val="chineseCounting"/>
      <w:suff w:val="nothing"/>
      <w:lvlText w:val="%1、"/>
      <w:lvlJc w:val="left"/>
      <w:rPr>
        <w:rFonts w:cs="Times New Roman"/>
      </w:rPr>
    </w:lvl>
  </w:abstractNum>
  <w:abstractNum w:abstractNumId="4">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7"/>
    <w:multiLevelType w:val="singleLevel"/>
    <w:tmpl w:val="00000017"/>
    <w:lvl w:ilvl="0" w:tentative="0">
      <w:start w:val="11"/>
      <w:numFmt w:val="decimal"/>
      <w:suff w:val="nothing"/>
      <w:lvlText w:val="%1、"/>
      <w:lvlJc w:val="left"/>
      <w:rPr>
        <w:rFonts w:cs="Times New Roman"/>
      </w:rPr>
    </w:lvl>
  </w:abstractNum>
  <w:abstractNum w:abstractNumId="6">
    <w:nsid w:val="00000018"/>
    <w:multiLevelType w:val="singleLevel"/>
    <w:tmpl w:val="00000018"/>
    <w:lvl w:ilvl="0" w:tentative="0">
      <w:start w:val="4"/>
      <w:numFmt w:val="chineseCounting"/>
      <w:suff w:val="nothing"/>
      <w:lvlText w:val="%1、"/>
      <w:lvlJc w:val="left"/>
      <w:rPr>
        <w:rFonts w:cs="Times New Roman"/>
      </w:rPr>
    </w:lvl>
  </w:abstractNum>
  <w:abstractNum w:abstractNumId="7">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4"/>
  </w:num>
  <w:num w:numId="3">
    <w:abstractNumId w:val="7"/>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cyMGRhMTQzNWY1OTk2ZDI4M2QyNjAwMTZiZGI5MDQifQ=="/>
  </w:docVars>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238B8"/>
    <w:rsid w:val="00125483"/>
    <w:rsid w:val="00126CB2"/>
    <w:rsid w:val="0012783F"/>
    <w:rsid w:val="001347C2"/>
    <w:rsid w:val="00153D99"/>
    <w:rsid w:val="00157A32"/>
    <w:rsid w:val="00160F44"/>
    <w:rsid w:val="0016586D"/>
    <w:rsid w:val="00171D5E"/>
    <w:rsid w:val="00172A27"/>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94358"/>
    <w:rsid w:val="002978A1"/>
    <w:rsid w:val="002D175B"/>
    <w:rsid w:val="002E771A"/>
    <w:rsid w:val="00304744"/>
    <w:rsid w:val="00305365"/>
    <w:rsid w:val="00311A8E"/>
    <w:rsid w:val="003220E6"/>
    <w:rsid w:val="00331AEF"/>
    <w:rsid w:val="0033394A"/>
    <w:rsid w:val="00342549"/>
    <w:rsid w:val="00345160"/>
    <w:rsid w:val="00350D0E"/>
    <w:rsid w:val="00357345"/>
    <w:rsid w:val="00362474"/>
    <w:rsid w:val="003761AE"/>
    <w:rsid w:val="003A3866"/>
    <w:rsid w:val="003A575B"/>
    <w:rsid w:val="003A5835"/>
    <w:rsid w:val="003B16EE"/>
    <w:rsid w:val="003C1917"/>
    <w:rsid w:val="003C194F"/>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92186"/>
    <w:rsid w:val="004957EB"/>
    <w:rsid w:val="004B3E89"/>
    <w:rsid w:val="004F32F5"/>
    <w:rsid w:val="00500BD1"/>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85656"/>
    <w:rsid w:val="00587AAA"/>
    <w:rsid w:val="00593381"/>
    <w:rsid w:val="00596137"/>
    <w:rsid w:val="005A2494"/>
    <w:rsid w:val="005A5824"/>
    <w:rsid w:val="005A7B77"/>
    <w:rsid w:val="005B05C6"/>
    <w:rsid w:val="005B5D0C"/>
    <w:rsid w:val="005C793D"/>
    <w:rsid w:val="005D4A9A"/>
    <w:rsid w:val="005F2A9D"/>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F7843"/>
    <w:rsid w:val="007218F9"/>
    <w:rsid w:val="00721FCA"/>
    <w:rsid w:val="007230C0"/>
    <w:rsid w:val="00723B64"/>
    <w:rsid w:val="00730754"/>
    <w:rsid w:val="00730852"/>
    <w:rsid w:val="00741C13"/>
    <w:rsid w:val="007430F0"/>
    <w:rsid w:val="0075613D"/>
    <w:rsid w:val="00757D5F"/>
    <w:rsid w:val="007674B8"/>
    <w:rsid w:val="00797C5C"/>
    <w:rsid w:val="007B3D3B"/>
    <w:rsid w:val="007B405E"/>
    <w:rsid w:val="007B515F"/>
    <w:rsid w:val="007C3B3D"/>
    <w:rsid w:val="007D6550"/>
    <w:rsid w:val="007E2B7D"/>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A3516"/>
    <w:rsid w:val="008A4E65"/>
    <w:rsid w:val="008B0930"/>
    <w:rsid w:val="008D5EF4"/>
    <w:rsid w:val="008E54CF"/>
    <w:rsid w:val="008E5BB6"/>
    <w:rsid w:val="00904018"/>
    <w:rsid w:val="00912972"/>
    <w:rsid w:val="00915FF4"/>
    <w:rsid w:val="00924828"/>
    <w:rsid w:val="00933B4D"/>
    <w:rsid w:val="00936F7B"/>
    <w:rsid w:val="0093793B"/>
    <w:rsid w:val="00955923"/>
    <w:rsid w:val="009717B8"/>
    <w:rsid w:val="00975C53"/>
    <w:rsid w:val="00990227"/>
    <w:rsid w:val="009B1E93"/>
    <w:rsid w:val="009B4A53"/>
    <w:rsid w:val="009B55BA"/>
    <w:rsid w:val="009C39A7"/>
    <w:rsid w:val="009C55E8"/>
    <w:rsid w:val="009C63C3"/>
    <w:rsid w:val="009C75B2"/>
    <w:rsid w:val="009D0384"/>
    <w:rsid w:val="009D5B1B"/>
    <w:rsid w:val="009E2EEF"/>
    <w:rsid w:val="009F2D95"/>
    <w:rsid w:val="009F3EDF"/>
    <w:rsid w:val="009F7FE2"/>
    <w:rsid w:val="00A070F7"/>
    <w:rsid w:val="00A22C96"/>
    <w:rsid w:val="00A22DD7"/>
    <w:rsid w:val="00A237A5"/>
    <w:rsid w:val="00A40E26"/>
    <w:rsid w:val="00A63F08"/>
    <w:rsid w:val="00A70A3D"/>
    <w:rsid w:val="00A8009F"/>
    <w:rsid w:val="00A828AE"/>
    <w:rsid w:val="00A86320"/>
    <w:rsid w:val="00AA4034"/>
    <w:rsid w:val="00AB0660"/>
    <w:rsid w:val="00AB4713"/>
    <w:rsid w:val="00AE5910"/>
    <w:rsid w:val="00B03542"/>
    <w:rsid w:val="00B058E8"/>
    <w:rsid w:val="00B07DD3"/>
    <w:rsid w:val="00B1159D"/>
    <w:rsid w:val="00B12DDB"/>
    <w:rsid w:val="00B20DA9"/>
    <w:rsid w:val="00B27A8E"/>
    <w:rsid w:val="00B30C14"/>
    <w:rsid w:val="00B425D7"/>
    <w:rsid w:val="00B45ABB"/>
    <w:rsid w:val="00B71E7C"/>
    <w:rsid w:val="00B74E46"/>
    <w:rsid w:val="00B85725"/>
    <w:rsid w:val="00B93271"/>
    <w:rsid w:val="00B93AE2"/>
    <w:rsid w:val="00B93CB1"/>
    <w:rsid w:val="00B96146"/>
    <w:rsid w:val="00B96409"/>
    <w:rsid w:val="00B96BED"/>
    <w:rsid w:val="00BA791D"/>
    <w:rsid w:val="00BC0B72"/>
    <w:rsid w:val="00BD7EBA"/>
    <w:rsid w:val="00BE0AB0"/>
    <w:rsid w:val="00BE43CC"/>
    <w:rsid w:val="00C00A93"/>
    <w:rsid w:val="00C04F27"/>
    <w:rsid w:val="00C17674"/>
    <w:rsid w:val="00C213A0"/>
    <w:rsid w:val="00C26F7E"/>
    <w:rsid w:val="00C34E1A"/>
    <w:rsid w:val="00C3720F"/>
    <w:rsid w:val="00C50391"/>
    <w:rsid w:val="00C52220"/>
    <w:rsid w:val="00C70C5B"/>
    <w:rsid w:val="00C80A64"/>
    <w:rsid w:val="00C82587"/>
    <w:rsid w:val="00CA1E22"/>
    <w:rsid w:val="00CA5BBE"/>
    <w:rsid w:val="00CB1DDE"/>
    <w:rsid w:val="00CB3ADB"/>
    <w:rsid w:val="00CB3CCA"/>
    <w:rsid w:val="00CC165F"/>
    <w:rsid w:val="00CC27E5"/>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D336F"/>
    <w:rsid w:val="00DD419A"/>
    <w:rsid w:val="00DF3FD2"/>
    <w:rsid w:val="00DF4E36"/>
    <w:rsid w:val="00DF7284"/>
    <w:rsid w:val="00E10AEA"/>
    <w:rsid w:val="00E12D33"/>
    <w:rsid w:val="00E15E75"/>
    <w:rsid w:val="00E27F44"/>
    <w:rsid w:val="00E45139"/>
    <w:rsid w:val="00E476BB"/>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23563"/>
    <w:rsid w:val="00F350B4"/>
    <w:rsid w:val="00F46EA7"/>
    <w:rsid w:val="00F629E7"/>
    <w:rsid w:val="00F7647B"/>
    <w:rsid w:val="00FA728E"/>
    <w:rsid w:val="00FB57EE"/>
    <w:rsid w:val="00FB654E"/>
    <w:rsid w:val="00FC682E"/>
    <w:rsid w:val="00FD138A"/>
    <w:rsid w:val="00FE506C"/>
    <w:rsid w:val="00FF22A3"/>
    <w:rsid w:val="00FF323D"/>
    <w:rsid w:val="01193396"/>
    <w:rsid w:val="024E68F9"/>
    <w:rsid w:val="047053D5"/>
    <w:rsid w:val="054D4588"/>
    <w:rsid w:val="06B833C2"/>
    <w:rsid w:val="09066A3D"/>
    <w:rsid w:val="09142DE0"/>
    <w:rsid w:val="09EB196A"/>
    <w:rsid w:val="0BC52B4C"/>
    <w:rsid w:val="0DBB7AFD"/>
    <w:rsid w:val="12642283"/>
    <w:rsid w:val="13BD7245"/>
    <w:rsid w:val="16970417"/>
    <w:rsid w:val="20436F19"/>
    <w:rsid w:val="22EC1AEA"/>
    <w:rsid w:val="24393DD1"/>
    <w:rsid w:val="28BE7A85"/>
    <w:rsid w:val="2A096A78"/>
    <w:rsid w:val="2B6A3EF4"/>
    <w:rsid w:val="2D8C63A3"/>
    <w:rsid w:val="2E9949CA"/>
    <w:rsid w:val="2F2574C5"/>
    <w:rsid w:val="2F4561EF"/>
    <w:rsid w:val="31C854D0"/>
    <w:rsid w:val="356126C9"/>
    <w:rsid w:val="3885236D"/>
    <w:rsid w:val="3C3A346E"/>
    <w:rsid w:val="3E80785E"/>
    <w:rsid w:val="43662466"/>
    <w:rsid w:val="45486BFC"/>
    <w:rsid w:val="4A7748A8"/>
    <w:rsid w:val="4C72455F"/>
    <w:rsid w:val="516A525B"/>
    <w:rsid w:val="52903990"/>
    <w:rsid w:val="56505911"/>
    <w:rsid w:val="57D22B17"/>
    <w:rsid w:val="58C37AA2"/>
    <w:rsid w:val="5C9956A0"/>
    <w:rsid w:val="5E0B036F"/>
    <w:rsid w:val="618D375A"/>
    <w:rsid w:val="61C30348"/>
    <w:rsid w:val="626A27B9"/>
    <w:rsid w:val="6878373F"/>
    <w:rsid w:val="69530B07"/>
    <w:rsid w:val="6BAD7479"/>
    <w:rsid w:val="6E1D25C8"/>
    <w:rsid w:val="717F146D"/>
    <w:rsid w:val="72B017B9"/>
    <w:rsid w:val="7356466E"/>
    <w:rsid w:val="760530A7"/>
    <w:rsid w:val="77D56395"/>
    <w:rsid w:val="7B070B09"/>
    <w:rsid w:val="7CF84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03"/>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4"/>
    <w:link w:val="88"/>
    <w:qFormat/>
    <w:uiPriority w:val="0"/>
    <w:pPr>
      <w:keepNext/>
      <w:keepLines/>
      <w:spacing w:before="120" w:after="120"/>
      <w:outlineLvl w:val="3"/>
    </w:pPr>
    <w:rPr>
      <w:rFonts w:ascii="Arial" w:hAnsi="Arial" w:eastAsia="黑体"/>
      <w:b/>
      <w:sz w:val="20"/>
    </w:rPr>
  </w:style>
  <w:style w:type="paragraph" w:styleId="10">
    <w:name w:val="heading 5"/>
    <w:basedOn w:val="1"/>
    <w:next w:val="4"/>
    <w:link w:val="78"/>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qFormat/>
    <w:uiPriority w:val="0"/>
    <w:pPr>
      <w:keepNext/>
      <w:keepLines/>
      <w:spacing w:before="240" w:after="64" w:line="319" w:lineRule="auto"/>
      <w:outlineLvl w:val="6"/>
    </w:pPr>
    <w:rPr>
      <w:b/>
      <w:bCs/>
      <w:sz w:val="24"/>
      <w:szCs w:val="24"/>
    </w:rPr>
  </w:style>
  <w:style w:type="paragraph" w:styleId="13">
    <w:name w:val="heading 8"/>
    <w:basedOn w:val="1"/>
    <w:next w:val="1"/>
    <w:link w:val="151"/>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Body Text First Indent 2"/>
    <w:basedOn w:val="6"/>
    <w:next w:val="1"/>
    <w:qFormat/>
    <w:uiPriority w:val="0"/>
    <w:pPr>
      <w:ind w:firstLine="420" w:firstLineChars="200"/>
    </w:pPr>
  </w:style>
  <w:style w:type="paragraph" w:styleId="6">
    <w:name w:val="Body Text Indent"/>
    <w:basedOn w:val="1"/>
    <w:next w:val="7"/>
    <w:link w:val="169"/>
    <w:qFormat/>
    <w:uiPriority w:val="0"/>
    <w:pPr>
      <w:ind w:firstLine="645"/>
    </w:pPr>
    <w:rPr>
      <w:sz w:val="20"/>
    </w:rPr>
  </w:style>
  <w:style w:type="paragraph" w:styleId="7">
    <w:name w:val="envelope return"/>
    <w:basedOn w:val="1"/>
    <w:unhideWhenUsed/>
    <w:qFormat/>
    <w:uiPriority w:val="99"/>
    <w:pPr>
      <w:snapToGrid w:val="0"/>
    </w:pPr>
    <w:rPr>
      <w:rFonts w:ascii="Arial" w:hAnsi="Arial"/>
    </w:r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196"/>
    <w:qFormat/>
    <w:uiPriority w:val="0"/>
    <w:pPr>
      <w:shd w:val="clear" w:color="auto" w:fill="000080"/>
    </w:pPr>
    <w:rPr>
      <w:rFonts w:ascii="宋体"/>
      <w:sz w:val="18"/>
      <w:szCs w:val="18"/>
    </w:rPr>
  </w:style>
  <w:style w:type="paragraph" w:styleId="22">
    <w:name w:val="annotation text"/>
    <w:basedOn w:val="1"/>
    <w:link w:val="128"/>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2"/>
    <w:qFormat/>
    <w:uiPriority w:val="0"/>
    <w:rPr>
      <w:rFonts w:ascii="仿宋_GB2312" w:eastAsia="仿宋_GB2312"/>
      <w:sz w:val="20"/>
    </w:rPr>
  </w:style>
  <w:style w:type="paragraph" w:styleId="25">
    <w:name w:val="Body Text 3"/>
    <w:basedOn w:val="1"/>
    <w:link w:val="89"/>
    <w:qFormat/>
    <w:uiPriority w:val="0"/>
    <w:rPr>
      <w:rFonts w:ascii="仿宋_GB2312" w:hAnsi="Arial" w:eastAsia="仿宋_GB2312"/>
      <w:sz w:val="20"/>
    </w:rPr>
  </w:style>
  <w:style w:type="paragraph" w:styleId="26">
    <w:name w:val="Body Text"/>
    <w:basedOn w:val="1"/>
    <w:link w:val="76"/>
    <w:qFormat/>
    <w:uiPriority w:val="0"/>
    <w:rPr>
      <w:rFonts w:ascii="楷体_GB2312" w:hAnsi="Arial" w:eastAsia="楷体_GB2312"/>
      <w:sz w:val="20"/>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0"/>
    <w:pPr>
      <w:ind w:left="420"/>
      <w:jc w:val="left"/>
    </w:pPr>
    <w:rPr>
      <w:i/>
      <w:sz w:val="20"/>
    </w:rPr>
  </w:style>
  <w:style w:type="paragraph" w:styleId="30">
    <w:name w:val="Plain Text"/>
    <w:basedOn w:val="1"/>
    <w:link w:val="121"/>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0"/>
    <w:qFormat/>
    <w:uiPriority w:val="0"/>
    <w:pPr>
      <w:ind w:left="100" w:leftChars="2500"/>
    </w:pPr>
    <w:rPr>
      <w:sz w:val="20"/>
    </w:rPr>
  </w:style>
  <w:style w:type="paragraph" w:styleId="34">
    <w:name w:val="Body Text Indent 2"/>
    <w:basedOn w:val="1"/>
    <w:link w:val="163"/>
    <w:qFormat/>
    <w:uiPriority w:val="0"/>
    <w:pPr>
      <w:ind w:left="630" w:firstLine="645"/>
    </w:pPr>
    <w:rPr>
      <w:sz w:val="20"/>
    </w:rPr>
  </w:style>
  <w:style w:type="paragraph" w:styleId="35">
    <w:name w:val="endnote text"/>
    <w:basedOn w:val="1"/>
    <w:link w:val="206"/>
    <w:qFormat/>
    <w:uiPriority w:val="0"/>
    <w:pPr>
      <w:snapToGrid w:val="0"/>
      <w:jc w:val="left"/>
    </w:pPr>
    <w:rPr>
      <w:kern w:val="0"/>
      <w:sz w:val="24"/>
      <w:szCs w:val="24"/>
    </w:rPr>
  </w:style>
  <w:style w:type="paragraph" w:styleId="36">
    <w:name w:val="Balloon Text"/>
    <w:basedOn w:val="1"/>
    <w:link w:val="205"/>
    <w:qFormat/>
    <w:uiPriority w:val="0"/>
    <w:rPr>
      <w:sz w:val="18"/>
      <w:szCs w:val="18"/>
    </w:rPr>
  </w:style>
  <w:style w:type="paragraph" w:styleId="37">
    <w:name w:val="footer"/>
    <w:basedOn w:val="1"/>
    <w:link w:val="198"/>
    <w:qFormat/>
    <w:uiPriority w:val="0"/>
    <w:pPr>
      <w:tabs>
        <w:tab w:val="center" w:pos="4153"/>
        <w:tab w:val="right" w:pos="8306"/>
      </w:tabs>
      <w:snapToGrid w:val="0"/>
      <w:jc w:val="left"/>
    </w:pPr>
    <w:rPr>
      <w:sz w:val="18"/>
      <w:szCs w:val="18"/>
    </w:rPr>
  </w:style>
  <w:style w:type="paragraph" w:styleId="38">
    <w:name w:val="header"/>
    <w:basedOn w:val="1"/>
    <w:link w:val="134"/>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0"/>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0"/>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3"/>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3"/>
    <w:qFormat/>
    <w:uiPriority w:val="0"/>
    <w:pPr>
      <w:widowControl/>
      <w:jc w:val="center"/>
    </w:pPr>
    <w:rPr>
      <w:rFonts w:ascii="楷体_GB2312" w:eastAsia="楷体_GB2312"/>
      <w:sz w:val="20"/>
    </w:rPr>
  </w:style>
  <w:style w:type="paragraph" w:styleId="54">
    <w:name w:val="HTML Preformatted"/>
    <w:basedOn w:val="1"/>
    <w:link w:val="16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0"/>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qFormat/>
    <w:uiPriority w:val="0"/>
    <w:rPr>
      <w:b/>
      <w:bCs/>
    </w:rPr>
  </w:style>
  <w:style w:type="paragraph" w:styleId="59">
    <w:name w:val="Body Text First Indent"/>
    <w:basedOn w:val="26"/>
    <w:link w:val="105"/>
    <w:qFormat/>
    <w:uiPriority w:val="0"/>
    <w:pPr>
      <w:spacing w:after="120"/>
      <w:ind w:firstLine="420" w:firstLineChars="100"/>
    </w:pPr>
    <w:rPr>
      <w:rFonts w:ascii="Times New Roman" w:hAnsi="Times New Roman" w:eastAsia="宋体"/>
      <w:sz w:val="24"/>
      <w:szCs w:val="24"/>
    </w:rPr>
  </w:style>
  <w:style w:type="table" w:styleId="61">
    <w:name w:val="Table Grid"/>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qFormat/>
    <w:uiPriority w:val="0"/>
    <w:rPr>
      <w:b/>
    </w:rPr>
  </w:style>
  <w:style w:type="character" w:styleId="64">
    <w:name w:val="endnote reference"/>
    <w:basedOn w:val="62"/>
    <w:qFormat/>
    <w:uiPriority w:val="0"/>
    <w:rPr>
      <w:vertAlign w:val="superscript"/>
    </w:rPr>
  </w:style>
  <w:style w:type="character" w:styleId="65">
    <w:name w:val="page number"/>
    <w:basedOn w:val="62"/>
    <w:qFormat/>
    <w:uiPriority w:val="0"/>
    <w:rPr>
      <w:rFonts w:cs="Times New Roman"/>
    </w:rPr>
  </w:style>
  <w:style w:type="character" w:styleId="66">
    <w:name w:val="FollowedHyperlink"/>
    <w:basedOn w:val="62"/>
    <w:qFormat/>
    <w:uiPriority w:val="0"/>
    <w:rPr>
      <w:color w:val="800080"/>
      <w:u w:val="single"/>
    </w:rPr>
  </w:style>
  <w:style w:type="character" w:styleId="67">
    <w:name w:val="Emphasis"/>
    <w:basedOn w:val="62"/>
    <w:qFormat/>
    <w:uiPriority w:val="0"/>
    <w:rPr>
      <w:b/>
      <w:i/>
      <w:spacing w:val="10"/>
      <w:shd w:val="clear" w:color="auto" w:fill="auto"/>
    </w:rPr>
  </w:style>
  <w:style w:type="character" w:styleId="68">
    <w:name w:val="line number"/>
    <w:basedOn w:val="62"/>
    <w:qFormat/>
    <w:uiPriority w:val="0"/>
    <w:rPr>
      <w:rFonts w:cs="Times New Roman"/>
    </w:rPr>
  </w:style>
  <w:style w:type="character" w:styleId="69">
    <w:name w:val="HTML Typewriter"/>
    <w:basedOn w:val="62"/>
    <w:qFormat/>
    <w:uiPriority w:val="0"/>
    <w:rPr>
      <w:rFonts w:ascii="宋体" w:hAnsi="宋体" w:eastAsia="宋体"/>
      <w:sz w:val="24"/>
    </w:rPr>
  </w:style>
  <w:style w:type="character" w:styleId="70">
    <w:name w:val="Hyperlink"/>
    <w:basedOn w:val="62"/>
    <w:qFormat/>
    <w:uiPriority w:val="99"/>
    <w:rPr>
      <w:color w:val="0000FF"/>
      <w:u w:val="single"/>
    </w:rPr>
  </w:style>
  <w:style w:type="character" w:styleId="71">
    <w:name w:val="annotation reference"/>
    <w:basedOn w:val="62"/>
    <w:qFormat/>
    <w:uiPriority w:val="99"/>
    <w:rPr>
      <w:sz w:val="21"/>
    </w:rPr>
  </w:style>
  <w:style w:type="character" w:styleId="72">
    <w:name w:val="footnote reference"/>
    <w:basedOn w:val="62"/>
    <w:qFormat/>
    <w:uiPriority w:val="0"/>
    <w:rPr>
      <w:vertAlign w:val="superscript"/>
    </w:rPr>
  </w:style>
  <w:style w:type="character" w:styleId="73">
    <w:name w:val="HTML Sample"/>
    <w:basedOn w:val="62"/>
    <w:qFormat/>
    <w:uiPriority w:val="0"/>
    <w:rPr>
      <w:rFonts w:ascii="Courier New" w:hAnsi="宋体" w:eastAsia="宋体"/>
    </w:rPr>
  </w:style>
  <w:style w:type="paragraph" w:customStyle="1" w:styleId="74">
    <w:name w:val="正文 New"/>
    <w:basedOn w:val="1"/>
    <w:qFormat/>
    <w:uiPriority w:val="0"/>
    <w:pPr>
      <w:spacing w:before="100" w:beforeAutospacing="1" w:after="100" w:afterAutospacing="1" w:line="440" w:lineRule="exact"/>
      <w:ind w:left="357" w:hanging="357"/>
    </w:pPr>
    <w:rPr>
      <w:szCs w:val="21"/>
    </w:rPr>
  </w:style>
  <w:style w:type="character" w:customStyle="1" w:styleId="75">
    <w:name w:val="页脚 Char1"/>
    <w:basedOn w:val="62"/>
    <w:qFormat/>
    <w:uiPriority w:val="0"/>
    <w:rPr>
      <w:rFonts w:cs="Times New Roman"/>
      <w:kern w:val="2"/>
      <w:sz w:val="18"/>
      <w:szCs w:val="18"/>
    </w:rPr>
  </w:style>
  <w:style w:type="character" w:customStyle="1" w:styleId="76">
    <w:name w:val="正文文本 字符"/>
    <w:basedOn w:val="62"/>
    <w:link w:val="26"/>
    <w:qFormat/>
    <w:uiPriority w:val="0"/>
    <w:rPr>
      <w:rFonts w:ascii="楷体_GB2312" w:hAnsi="Arial" w:eastAsia="楷体_GB2312" w:cs="Times New Roman"/>
      <w:sz w:val="20"/>
      <w:szCs w:val="20"/>
    </w:rPr>
  </w:style>
  <w:style w:type="character" w:customStyle="1" w:styleId="77">
    <w:name w:val="Body Text Indent 2 Char"/>
    <w:qFormat/>
    <w:uiPriority w:val="0"/>
    <w:rPr>
      <w:rFonts w:ascii="Arial" w:hAnsi="Arial" w:eastAsia="仿宋_GB2312"/>
      <w:sz w:val="32"/>
    </w:rPr>
  </w:style>
  <w:style w:type="character" w:customStyle="1" w:styleId="78">
    <w:name w:val="标题 5 字符"/>
    <w:basedOn w:val="62"/>
    <w:link w:val="10"/>
    <w:qFormat/>
    <w:uiPriority w:val="0"/>
    <w:rPr>
      <w:rFonts w:ascii="黑体" w:hAnsi="Times New Roman" w:eastAsia="黑体" w:cs="Times New Roman"/>
      <w:b/>
      <w:color w:val="000000"/>
      <w:kern w:val="0"/>
      <w:sz w:val="20"/>
      <w:szCs w:val="20"/>
    </w:rPr>
  </w:style>
  <w:style w:type="character" w:customStyle="1" w:styleId="79">
    <w:name w:val="Body Text Indent 3 Char1"/>
    <w:basedOn w:val="62"/>
    <w:qFormat/>
    <w:uiPriority w:val="0"/>
    <w:rPr>
      <w:rFonts w:ascii="Times New Roman" w:hAnsi="Times New Roman"/>
      <w:kern w:val="2"/>
      <w:sz w:val="16"/>
      <w:szCs w:val="16"/>
    </w:rPr>
  </w:style>
  <w:style w:type="character" w:customStyle="1" w:styleId="80">
    <w:name w:val="副标题 字符"/>
    <w:basedOn w:val="62"/>
    <w:link w:val="44"/>
    <w:qFormat/>
    <w:uiPriority w:val="0"/>
    <w:rPr>
      <w:rFonts w:ascii="Cambria" w:hAnsi="Cambria" w:eastAsia="宋体" w:cs="Times New Roman"/>
      <w:i/>
      <w:iCs/>
      <w:spacing w:val="13"/>
      <w:kern w:val="0"/>
      <w:sz w:val="24"/>
      <w:szCs w:val="24"/>
      <w:lang w:eastAsia="en-US"/>
    </w:rPr>
  </w:style>
  <w:style w:type="character" w:customStyle="1" w:styleId="81">
    <w:name w:val="listbenefit"/>
    <w:qFormat/>
    <w:uiPriority w:val="0"/>
  </w:style>
  <w:style w:type="character" w:customStyle="1" w:styleId="82">
    <w:name w:val="Char Char27"/>
    <w:qFormat/>
    <w:uiPriority w:val="0"/>
    <w:rPr>
      <w:b/>
      <w:kern w:val="44"/>
      <w:sz w:val="44"/>
    </w:rPr>
  </w:style>
  <w:style w:type="character" w:customStyle="1" w:styleId="83">
    <w:name w:val="param-value"/>
    <w:basedOn w:val="62"/>
    <w:qFormat/>
    <w:uiPriority w:val="0"/>
    <w:rPr>
      <w:rFonts w:cs="Times New Roman"/>
    </w:rPr>
  </w:style>
  <w:style w:type="character" w:customStyle="1" w:styleId="84">
    <w:name w:val="纯文本 Char Char Char1"/>
    <w:qFormat/>
    <w:uiPriority w:val="0"/>
    <w:rPr>
      <w:rFonts w:ascii="宋体" w:hAnsi="Courier New" w:eastAsia="宋体"/>
      <w:kern w:val="2"/>
      <w:sz w:val="21"/>
      <w:lang w:val="en-US" w:eastAsia="zh-CN"/>
    </w:rPr>
  </w:style>
  <w:style w:type="character" w:customStyle="1" w:styleId="85">
    <w:name w:val="apple-converted-space"/>
    <w:basedOn w:val="62"/>
    <w:qFormat/>
    <w:uiPriority w:val="0"/>
    <w:rPr>
      <w:rFonts w:cs="Times New Roman"/>
    </w:rPr>
  </w:style>
  <w:style w:type="character" w:customStyle="1" w:styleId="86">
    <w:name w:val="Char Char29"/>
    <w:qFormat/>
    <w:uiPriority w:val="0"/>
    <w:rPr>
      <w:rFonts w:ascii="Times New Roman" w:hAnsi="Times New Roman" w:eastAsia="宋体"/>
      <w:b/>
      <w:kern w:val="44"/>
      <w:sz w:val="44"/>
    </w:rPr>
  </w:style>
  <w:style w:type="character" w:customStyle="1" w:styleId="87">
    <w:name w:val="标题 3 Char"/>
    <w:basedOn w:val="62"/>
    <w:qFormat/>
    <w:uiPriority w:val="0"/>
    <w:rPr>
      <w:rFonts w:ascii="Times New Roman" w:hAnsi="Times New Roman" w:eastAsia="宋体" w:cs="Times New Roman"/>
      <w:b/>
      <w:bCs/>
      <w:sz w:val="32"/>
      <w:szCs w:val="32"/>
    </w:rPr>
  </w:style>
  <w:style w:type="character" w:customStyle="1" w:styleId="88">
    <w:name w:val="标题 4 字符"/>
    <w:basedOn w:val="62"/>
    <w:link w:val="9"/>
    <w:qFormat/>
    <w:uiPriority w:val="0"/>
    <w:rPr>
      <w:rFonts w:ascii="Arial" w:hAnsi="Arial" w:eastAsia="黑体" w:cs="Times New Roman"/>
      <w:b/>
      <w:sz w:val="20"/>
      <w:szCs w:val="20"/>
    </w:rPr>
  </w:style>
  <w:style w:type="character" w:customStyle="1" w:styleId="89">
    <w:name w:val="正文文本 3 字符"/>
    <w:basedOn w:val="62"/>
    <w:link w:val="25"/>
    <w:qFormat/>
    <w:uiPriority w:val="0"/>
    <w:rPr>
      <w:rFonts w:ascii="仿宋_GB2312" w:hAnsi="Arial" w:eastAsia="仿宋_GB2312" w:cs="Times New Roman"/>
      <w:sz w:val="20"/>
      <w:szCs w:val="20"/>
    </w:rPr>
  </w:style>
  <w:style w:type="character" w:customStyle="1" w:styleId="90">
    <w:name w:val="正文文本缩进 Char"/>
    <w:basedOn w:val="62"/>
    <w:qFormat/>
    <w:uiPriority w:val="0"/>
    <w:rPr>
      <w:rFonts w:ascii="Times New Roman" w:hAnsi="Times New Roman" w:eastAsia="宋体" w:cs="Times New Roman"/>
      <w:sz w:val="20"/>
      <w:szCs w:val="20"/>
    </w:rPr>
  </w:style>
  <w:style w:type="character" w:customStyle="1" w:styleId="91">
    <w:name w:val="Plain Text Char"/>
    <w:qFormat/>
    <w:uiPriority w:val="0"/>
    <w:rPr>
      <w:rFonts w:ascii="宋体" w:hAnsi="Courier New"/>
    </w:rPr>
  </w:style>
  <w:style w:type="character" w:customStyle="1" w:styleId="92">
    <w:name w:val="HTML 预设格式 Char"/>
    <w:basedOn w:val="62"/>
    <w:qFormat/>
    <w:uiPriority w:val="0"/>
    <w:rPr>
      <w:rFonts w:ascii="Courier New" w:hAnsi="Courier New" w:eastAsia="宋体" w:cs="Courier New"/>
      <w:sz w:val="20"/>
      <w:szCs w:val="20"/>
    </w:rPr>
  </w:style>
  <w:style w:type="character" w:customStyle="1" w:styleId="93">
    <w:name w:val="批注文字 Char Char"/>
    <w:qFormat/>
    <w:uiPriority w:val="0"/>
    <w:rPr>
      <w:rFonts w:eastAsia="宋体"/>
      <w:kern w:val="2"/>
      <w:sz w:val="21"/>
      <w:lang w:val="en-US" w:eastAsia="zh-CN"/>
    </w:rPr>
  </w:style>
  <w:style w:type="character" w:customStyle="1" w:styleId="94">
    <w:name w:val="Body Text Indent Char"/>
    <w:qFormat/>
    <w:uiPriority w:val="0"/>
    <w:rPr>
      <w:rFonts w:ascii="楷体_GB2312" w:eastAsia="楷体_GB2312"/>
      <w:sz w:val="32"/>
    </w:rPr>
  </w:style>
  <w:style w:type="character" w:customStyle="1" w:styleId="95">
    <w:name w:val="已访问的超链接1"/>
    <w:qFormat/>
    <w:uiPriority w:val="0"/>
    <w:rPr>
      <w:color w:val="auto"/>
      <w:u w:val="none"/>
    </w:rPr>
  </w:style>
  <w:style w:type="character" w:customStyle="1" w:styleId="96">
    <w:name w:val="纯文本 Char Char Char"/>
    <w:qFormat/>
    <w:uiPriority w:val="0"/>
    <w:rPr>
      <w:rFonts w:ascii="宋体" w:hAnsi="Courier New" w:eastAsia="宋体"/>
      <w:kern w:val="2"/>
      <w:sz w:val="21"/>
      <w:lang w:val="en-US" w:eastAsia="zh-CN"/>
    </w:rPr>
  </w:style>
  <w:style w:type="character" w:customStyle="1" w:styleId="97">
    <w:name w:val="普通文字1 Char"/>
    <w:qFormat/>
    <w:uiPriority w:val="0"/>
    <w:rPr>
      <w:rFonts w:ascii="宋体" w:eastAsia="宋体"/>
      <w:kern w:val="2"/>
      <w:sz w:val="21"/>
      <w:lang w:val="en-US" w:eastAsia="zh-CN"/>
    </w:rPr>
  </w:style>
  <w:style w:type="character" w:customStyle="1" w:styleId="98">
    <w:name w:val="Comment Subject Char"/>
    <w:qFormat/>
    <w:uiPriority w:val="0"/>
    <w:rPr>
      <w:b/>
    </w:rPr>
  </w:style>
  <w:style w:type="character" w:customStyle="1" w:styleId="99">
    <w:name w:val="Char Char28"/>
    <w:qFormat/>
    <w:uiPriority w:val="0"/>
    <w:rPr>
      <w:rFonts w:ascii="Arial" w:hAnsi="Arial" w:eastAsia="黑体"/>
      <w:b/>
      <w:sz w:val="32"/>
    </w:rPr>
  </w:style>
  <w:style w:type="character" w:customStyle="1" w:styleId="100">
    <w:name w:val="Char Char23"/>
    <w:qFormat/>
    <w:uiPriority w:val="0"/>
    <w:rPr>
      <w:rFonts w:ascii="Arial" w:hAnsi="Arial" w:eastAsia="黑体"/>
      <w:b/>
      <w:kern w:val="2"/>
      <w:sz w:val="24"/>
    </w:rPr>
  </w:style>
  <w:style w:type="character" w:customStyle="1" w:styleId="101">
    <w:name w:val="Char Char21"/>
    <w:qFormat/>
    <w:uiPriority w:val="0"/>
    <w:rPr>
      <w:rFonts w:ascii="Arial" w:hAnsi="Arial" w:eastAsia="黑体"/>
      <w:kern w:val="2"/>
      <w:sz w:val="24"/>
    </w:rPr>
  </w:style>
  <w:style w:type="character" w:customStyle="1" w:styleId="102">
    <w:name w:val="Char Char2"/>
    <w:qFormat/>
    <w:uiPriority w:val="0"/>
    <w:rPr>
      <w:rFonts w:ascii="宋体" w:hAnsi="Courier New" w:eastAsia="宋体"/>
      <w:kern w:val="2"/>
      <w:sz w:val="21"/>
      <w:lang w:val="en-US" w:eastAsia="zh-CN"/>
    </w:rPr>
  </w:style>
  <w:style w:type="character" w:customStyle="1" w:styleId="103">
    <w:name w:val="t1"/>
    <w:qFormat/>
    <w:uiPriority w:val="0"/>
  </w:style>
  <w:style w:type="character" w:customStyle="1" w:styleId="104">
    <w:name w:val="华宇段落1 Char Char Char"/>
    <w:qFormat/>
    <w:uiPriority w:val="0"/>
    <w:rPr>
      <w:rFonts w:eastAsia="宋体"/>
      <w:kern w:val="2"/>
      <w:sz w:val="24"/>
      <w:lang w:val="en-US" w:eastAsia="zh-CN"/>
    </w:rPr>
  </w:style>
  <w:style w:type="character" w:customStyle="1" w:styleId="105">
    <w:name w:val="正文首行缩进 字符"/>
    <w:basedOn w:val="76"/>
    <w:link w:val="59"/>
    <w:qFormat/>
    <w:uiPriority w:val="0"/>
    <w:rPr>
      <w:rFonts w:ascii="Times New Roman" w:hAnsi="Times New Roman" w:eastAsia="宋体" w:cs="Times New Roman"/>
      <w:sz w:val="24"/>
      <w:szCs w:val="24"/>
    </w:rPr>
  </w:style>
  <w:style w:type="character" w:customStyle="1" w:styleId="106">
    <w:name w:val="纯文本 Char1"/>
    <w:qFormat/>
    <w:uiPriority w:val="0"/>
    <w:rPr>
      <w:rFonts w:ascii="宋体" w:hAnsi="Courier New"/>
      <w:kern w:val="2"/>
      <w:sz w:val="21"/>
    </w:rPr>
  </w:style>
  <w:style w:type="character" w:customStyle="1" w:styleId="107">
    <w:name w:val="textcontents"/>
    <w:basedOn w:val="62"/>
    <w:qFormat/>
    <w:uiPriority w:val="0"/>
    <w:rPr>
      <w:rFonts w:cs="Times New Roman"/>
    </w:rPr>
  </w:style>
  <w:style w:type="character" w:customStyle="1" w:styleId="108">
    <w:name w:val="Intense Quote Char2"/>
    <w:basedOn w:val="62"/>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qFormat/>
    <w:uiPriority w:val="0"/>
    <w:rPr>
      <w:rFonts w:ascii="宋体" w:hAnsi="Courier New" w:eastAsia="宋体" w:cs="Courier New"/>
      <w:sz w:val="21"/>
      <w:szCs w:val="21"/>
    </w:rPr>
  </w:style>
  <w:style w:type="character" w:customStyle="1" w:styleId="110">
    <w:name w:val="我的正文 Char Char"/>
    <w:link w:val="111"/>
    <w:qFormat/>
    <w:uiPriority w:val="0"/>
    <w:rPr>
      <w:rFonts w:ascii="宋体" w:eastAsia="宋体"/>
      <w:sz w:val="21"/>
    </w:rPr>
  </w:style>
  <w:style w:type="paragraph" w:customStyle="1" w:styleId="111">
    <w:name w:val="我的正文"/>
    <w:basedOn w:val="1"/>
    <w:link w:val="110"/>
    <w:qFormat/>
    <w:uiPriority w:val="0"/>
    <w:pPr>
      <w:widowControl/>
      <w:spacing w:line="360" w:lineRule="auto"/>
      <w:ind w:firstLine="420"/>
      <w:jc w:val="left"/>
    </w:pPr>
    <w:rPr>
      <w:rFonts w:ascii="宋体" w:hAnsi="Calibri"/>
      <w:kern w:val="0"/>
    </w:rPr>
  </w:style>
  <w:style w:type="character" w:customStyle="1" w:styleId="112">
    <w:name w:val="Title Char"/>
    <w:qFormat/>
    <w:uiPriority w:val="0"/>
    <w:rPr>
      <w:rFonts w:eastAsia="黑体"/>
      <w:b/>
      <w:sz w:val="28"/>
      <w:lang w:val="en-GB"/>
    </w:rPr>
  </w:style>
  <w:style w:type="character" w:customStyle="1" w:styleId="113">
    <w:name w:val="正文文本缩进 3 字符"/>
    <w:basedOn w:val="62"/>
    <w:link w:val="47"/>
    <w:qFormat/>
    <w:uiPriority w:val="0"/>
    <w:rPr>
      <w:rFonts w:ascii="Times New Roman" w:hAnsi="Times New Roman" w:eastAsia="宋体" w:cs="Times New Roman"/>
      <w:sz w:val="16"/>
      <w:szCs w:val="16"/>
    </w:rPr>
  </w:style>
  <w:style w:type="character" w:customStyle="1" w:styleId="114">
    <w:name w:val="Title1 Char"/>
    <w:qFormat/>
    <w:uiPriority w:val="0"/>
    <w:rPr>
      <w:rFonts w:eastAsia="宋体"/>
      <w:b/>
      <w:kern w:val="44"/>
      <w:sz w:val="44"/>
      <w:lang w:val="en-US" w:eastAsia="zh-CN"/>
    </w:rPr>
  </w:style>
  <w:style w:type="character" w:customStyle="1" w:styleId="115">
    <w:name w:val="content"/>
    <w:basedOn w:val="62"/>
    <w:qFormat/>
    <w:uiPriority w:val="0"/>
    <w:rPr>
      <w:rFonts w:cs="Times New Roman"/>
    </w:rPr>
  </w:style>
  <w:style w:type="character" w:customStyle="1" w:styleId="116">
    <w:name w:val="Char Char17"/>
    <w:qFormat/>
    <w:uiPriority w:val="0"/>
    <w:rPr>
      <w:rFonts w:ascii="宋体" w:hAnsi="Courier New"/>
      <w:kern w:val="2"/>
      <w:sz w:val="21"/>
    </w:rPr>
  </w:style>
  <w:style w:type="character" w:customStyle="1" w:styleId="117">
    <w:name w:val="标准小四 Char Char"/>
    <w:qFormat/>
    <w:uiPriority w:val="0"/>
    <w:rPr>
      <w:rFonts w:ascii="Arial" w:hAnsi="Arial" w:eastAsia="宋体"/>
      <w:kern w:val="2"/>
      <w:sz w:val="21"/>
      <w:lang w:val="en-US" w:eastAsia="zh-CN"/>
    </w:rPr>
  </w:style>
  <w:style w:type="character" w:customStyle="1" w:styleId="118">
    <w:name w:val="样式 宋体 小四"/>
    <w:qFormat/>
    <w:uiPriority w:val="0"/>
    <w:rPr>
      <w:rFonts w:ascii="宋体" w:eastAsia="宋体"/>
      <w:sz w:val="24"/>
    </w:rPr>
  </w:style>
  <w:style w:type="character" w:customStyle="1" w:styleId="119">
    <w:name w:val="ih151"/>
    <w:qFormat/>
    <w:uiPriority w:val="0"/>
    <w:rPr>
      <w:color w:val="666666"/>
      <w:sz w:val="18"/>
      <w:u w:val="none"/>
    </w:rPr>
  </w:style>
  <w:style w:type="character" w:customStyle="1" w:styleId="120">
    <w:name w:val="style13"/>
    <w:qFormat/>
    <w:uiPriority w:val="0"/>
    <w:rPr>
      <w:sz w:val="18"/>
    </w:rPr>
  </w:style>
  <w:style w:type="character" w:customStyle="1" w:styleId="121">
    <w:name w:val="纯文本 字符"/>
    <w:basedOn w:val="62"/>
    <w:link w:val="30"/>
    <w:qFormat/>
    <w:uiPriority w:val="99"/>
    <w:rPr>
      <w:rFonts w:ascii="宋体" w:hAnsi="Courier New" w:cs="Courier New"/>
      <w:kern w:val="2"/>
      <w:sz w:val="21"/>
      <w:szCs w:val="21"/>
    </w:rPr>
  </w:style>
  <w:style w:type="character" w:customStyle="1" w:styleId="122">
    <w:name w:val="标题 6 字符"/>
    <w:basedOn w:val="62"/>
    <w:link w:val="11"/>
    <w:qFormat/>
    <w:uiPriority w:val="0"/>
    <w:rPr>
      <w:rFonts w:ascii="Arial" w:hAnsi="Arial" w:eastAsia="黑体" w:cs="Times New Roman"/>
      <w:b/>
      <w:bCs/>
      <w:sz w:val="24"/>
      <w:szCs w:val="24"/>
    </w:rPr>
  </w:style>
  <w:style w:type="character" w:customStyle="1" w:styleId="123">
    <w:name w:val="style131"/>
    <w:qFormat/>
    <w:uiPriority w:val="0"/>
    <w:rPr>
      <w:sz w:val="18"/>
    </w:rPr>
  </w:style>
  <w:style w:type="character" w:customStyle="1" w:styleId="124">
    <w:name w:val="Char Char25"/>
    <w:qFormat/>
    <w:uiPriority w:val="0"/>
    <w:rPr>
      <w:rFonts w:ascii="Arial" w:hAnsi="Arial" w:eastAsia="黑体"/>
      <w:b/>
      <w:kern w:val="2"/>
      <w:sz w:val="28"/>
    </w:rPr>
  </w:style>
  <w:style w:type="character" w:customStyle="1" w:styleId="125">
    <w:name w:val="不明显强调1"/>
    <w:basedOn w:val="62"/>
    <w:qFormat/>
    <w:uiPriority w:val="0"/>
    <w:rPr>
      <w:i/>
    </w:rPr>
  </w:style>
  <w:style w:type="character" w:customStyle="1" w:styleId="126">
    <w:name w:val="标准文本 Char Char"/>
    <w:qFormat/>
    <w:uiPriority w:val="0"/>
    <w:rPr>
      <w:rFonts w:eastAsia="宋体"/>
      <w:kern w:val="2"/>
      <w:sz w:val="24"/>
      <w:lang w:val="en-US" w:eastAsia="zh-CN"/>
    </w:rPr>
  </w:style>
  <w:style w:type="character" w:customStyle="1" w:styleId="127">
    <w:name w:val="Comment Subject Char1"/>
    <w:basedOn w:val="128"/>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qFormat/>
    <w:uiPriority w:val="99"/>
    <w:rPr>
      <w:rFonts w:ascii="Times New Roman" w:hAnsi="Times New Roman" w:eastAsia="宋体" w:cs="Times New Roman"/>
      <w:sz w:val="20"/>
      <w:szCs w:val="20"/>
    </w:rPr>
  </w:style>
  <w:style w:type="character" w:customStyle="1" w:styleId="129">
    <w:name w:val="normalfont1"/>
    <w:qFormat/>
    <w:uiPriority w:val="0"/>
    <w:rPr>
      <w:rFonts w:ascii="??" w:hAnsi="??"/>
      <w:sz w:val="18"/>
      <w:u w:val="none"/>
    </w:rPr>
  </w:style>
  <w:style w:type="character" w:customStyle="1" w:styleId="130">
    <w:name w:val="小四 段落 宋体 Char Char Char Char Char Char Char Char"/>
    <w:qFormat/>
    <w:uiPriority w:val="0"/>
    <w:rPr>
      <w:rFonts w:eastAsia="宋体"/>
      <w:kern w:val="2"/>
      <w:sz w:val="24"/>
      <w:lang w:val="en-US" w:eastAsia="zh-CN"/>
    </w:rPr>
  </w:style>
  <w:style w:type="character" w:customStyle="1" w:styleId="131">
    <w:name w:val="签名 字符"/>
    <w:basedOn w:val="62"/>
    <w:link w:val="39"/>
    <w:qFormat/>
    <w:uiPriority w:val="0"/>
    <w:rPr>
      <w:rFonts w:ascii="Times New Roman" w:hAnsi="Times New Roman" w:eastAsia="仿宋_GB2312" w:cs="Times New Roman"/>
      <w:kern w:val="0"/>
      <w:sz w:val="20"/>
      <w:szCs w:val="20"/>
    </w:rPr>
  </w:style>
  <w:style w:type="character" w:customStyle="1" w:styleId="132">
    <w:name w:val="标题 Char1"/>
    <w:qFormat/>
    <w:uiPriority w:val="0"/>
    <w:rPr>
      <w:rFonts w:ascii="Cambria" w:eastAsia="宋体"/>
      <w:b/>
      <w:sz w:val="32"/>
    </w:rPr>
  </w:style>
  <w:style w:type="character" w:customStyle="1" w:styleId="133">
    <w:name w:val="脚注文本 字符"/>
    <w:basedOn w:val="62"/>
    <w:link w:val="45"/>
    <w:qFormat/>
    <w:uiPriority w:val="0"/>
    <w:rPr>
      <w:rFonts w:ascii="Times New Roman" w:hAnsi="Times New Roman" w:eastAsia="宋体" w:cs="Times New Roman"/>
      <w:sz w:val="18"/>
      <w:szCs w:val="18"/>
    </w:rPr>
  </w:style>
  <w:style w:type="character" w:customStyle="1" w:styleId="134">
    <w:name w:val="页眉 字符"/>
    <w:basedOn w:val="62"/>
    <w:link w:val="38"/>
    <w:qFormat/>
    <w:uiPriority w:val="0"/>
    <w:rPr>
      <w:rFonts w:cs="Times New Roman"/>
      <w:sz w:val="18"/>
      <w:szCs w:val="18"/>
    </w:rPr>
  </w:style>
  <w:style w:type="character" w:customStyle="1" w:styleId="135">
    <w:name w:val="Quote Char Char"/>
    <w:qFormat/>
    <w:uiPriority w:val="0"/>
    <w:rPr>
      <w:rFonts w:ascii="Calibri" w:hAnsi="Calibri"/>
      <w:i/>
      <w:sz w:val="22"/>
      <w:lang w:eastAsia="en-US"/>
    </w:rPr>
  </w:style>
  <w:style w:type="character" w:customStyle="1" w:styleId="136">
    <w:name w:val="content_lineheight1"/>
    <w:basedOn w:val="62"/>
    <w:qFormat/>
    <w:uiPriority w:val="0"/>
    <w:rPr>
      <w:rFonts w:cs="Times New Roman"/>
    </w:rPr>
  </w:style>
  <w:style w:type="character" w:customStyle="1" w:styleId="137">
    <w:name w:val="标题 7 字符"/>
    <w:basedOn w:val="62"/>
    <w:link w:val="12"/>
    <w:qFormat/>
    <w:uiPriority w:val="0"/>
    <w:rPr>
      <w:rFonts w:ascii="Times New Roman" w:hAnsi="Times New Roman" w:eastAsia="宋体" w:cs="Times New Roman"/>
      <w:b/>
      <w:bCs/>
      <w:sz w:val="24"/>
      <w:szCs w:val="24"/>
    </w:rPr>
  </w:style>
  <w:style w:type="character" w:customStyle="1" w:styleId="138">
    <w:name w:val="Title Char1"/>
    <w:basedOn w:val="62"/>
    <w:qFormat/>
    <w:uiPriority w:val="0"/>
    <w:rPr>
      <w:rFonts w:ascii="Cambria" w:hAnsi="Cambria" w:cs="Times New Roman"/>
      <w:b/>
      <w:bCs/>
      <w:kern w:val="2"/>
      <w:sz w:val="32"/>
      <w:szCs w:val="32"/>
    </w:rPr>
  </w:style>
  <w:style w:type="character" w:customStyle="1" w:styleId="139">
    <w:name w:val="正文 + 宋体 Char"/>
    <w:qFormat/>
    <w:uiPriority w:val="0"/>
    <w:rPr>
      <w:rFonts w:eastAsia="宋体"/>
      <w:kern w:val="2"/>
      <w:sz w:val="24"/>
      <w:lang w:val="en-US" w:eastAsia="zh-CN"/>
    </w:rPr>
  </w:style>
  <w:style w:type="character" w:customStyle="1" w:styleId="140">
    <w:name w:val="日期 字符"/>
    <w:basedOn w:val="62"/>
    <w:link w:val="33"/>
    <w:qFormat/>
    <w:uiPriority w:val="0"/>
    <w:rPr>
      <w:rFonts w:ascii="Times New Roman" w:hAnsi="Times New Roman" w:eastAsia="宋体" w:cs="Times New Roman"/>
      <w:sz w:val="20"/>
      <w:szCs w:val="20"/>
    </w:rPr>
  </w:style>
  <w:style w:type="character" w:customStyle="1" w:styleId="141">
    <w:name w:val="特点 Char1"/>
    <w:qFormat/>
    <w:uiPriority w:val="0"/>
    <w:rPr>
      <w:rFonts w:eastAsia="宋体"/>
      <w:kern w:val="2"/>
      <w:sz w:val="21"/>
      <w:lang w:val="en-US" w:eastAsia="zh-CN"/>
    </w:rPr>
  </w:style>
  <w:style w:type="character" w:customStyle="1" w:styleId="142">
    <w:name w:val="表格抬头 Char Char"/>
    <w:link w:val="143"/>
    <w:qFormat/>
    <w:uiPriority w:val="0"/>
    <w:rPr>
      <w:rFonts w:ascii="黑体" w:eastAsia="黑体"/>
      <w:b/>
    </w:rPr>
  </w:style>
  <w:style w:type="paragraph" w:customStyle="1" w:styleId="143">
    <w:name w:val="表格抬头"/>
    <w:basedOn w:val="1"/>
    <w:link w:val="142"/>
    <w:qFormat/>
    <w:uiPriority w:val="0"/>
    <w:pPr>
      <w:jc w:val="center"/>
    </w:pPr>
    <w:rPr>
      <w:rFonts w:ascii="黑体" w:hAnsi="Calibri" w:eastAsia="黑体"/>
      <w:b/>
      <w:kern w:val="0"/>
      <w:sz w:val="20"/>
    </w:rPr>
  </w:style>
  <w:style w:type="character" w:customStyle="1" w:styleId="144">
    <w:name w:val="批注主题 字符"/>
    <w:basedOn w:val="128"/>
    <w:link w:val="58"/>
    <w:qFormat/>
    <w:uiPriority w:val="0"/>
    <w:rPr>
      <w:rFonts w:ascii="Times New Roman" w:hAnsi="Times New Roman" w:eastAsia="宋体" w:cs="Times New Roman"/>
      <w:b/>
      <w:bCs/>
      <w:sz w:val="20"/>
      <w:szCs w:val="20"/>
    </w:rPr>
  </w:style>
  <w:style w:type="character" w:customStyle="1" w:styleId="145">
    <w:name w:val="HTML Preformatted Char"/>
    <w:qFormat/>
    <w:uiPriority w:val="0"/>
    <w:rPr>
      <w:rFonts w:ascii="黑体" w:hAnsi="Courier New" w:eastAsia="黑体"/>
    </w:rPr>
  </w:style>
  <w:style w:type="character" w:customStyle="1" w:styleId="146">
    <w:name w:val="h Char Char"/>
    <w:qFormat/>
    <w:uiPriority w:val="0"/>
    <w:rPr>
      <w:rFonts w:eastAsia="宋体"/>
      <w:kern w:val="2"/>
      <w:sz w:val="18"/>
      <w:lang w:val="en-US" w:eastAsia="zh-CN"/>
    </w:rPr>
  </w:style>
  <w:style w:type="character" w:customStyle="1" w:styleId="147">
    <w:name w:val="subtitle1"/>
    <w:qFormat/>
    <w:uiPriority w:val="0"/>
    <w:rPr>
      <w:rFonts w:ascii="Georgia" w:hAnsi="Georgia"/>
      <w:b/>
      <w:color w:val="666666"/>
      <w:sz w:val="18"/>
    </w:rPr>
  </w:style>
  <w:style w:type="character" w:customStyle="1" w:styleId="148">
    <w:name w:val="样式 非加粗"/>
    <w:qFormat/>
    <w:uiPriority w:val="0"/>
    <w:rPr>
      <w:rFonts w:eastAsia="宋体"/>
      <w:sz w:val="28"/>
    </w:rPr>
  </w:style>
  <w:style w:type="character" w:customStyle="1" w:styleId="149">
    <w:name w:val="小四 段落 宋体 Char Char Char Char Char"/>
    <w:link w:val="150"/>
    <w:qFormat/>
    <w:uiPriority w:val="0"/>
    <w:rPr>
      <w:rFonts w:eastAsia="宋体"/>
      <w:kern w:val="2"/>
      <w:sz w:val="24"/>
      <w:lang w:val="en-US" w:eastAsia="zh-CN"/>
    </w:rPr>
  </w:style>
  <w:style w:type="paragraph" w:customStyle="1" w:styleId="150">
    <w:name w:val="小四 段落 宋体"/>
    <w:basedOn w:val="19"/>
    <w:link w:val="149"/>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qFormat/>
    <w:uiPriority w:val="0"/>
    <w:rPr>
      <w:rFonts w:ascii="Arial" w:hAnsi="Arial" w:eastAsia="黑体" w:cs="Times New Roman"/>
      <w:sz w:val="24"/>
      <w:szCs w:val="24"/>
    </w:rPr>
  </w:style>
  <w:style w:type="character" w:customStyle="1" w:styleId="152">
    <w:name w:val="Document Map Char"/>
    <w:qFormat/>
    <w:uiPriority w:val="0"/>
    <w:rPr>
      <w:shd w:val="clear" w:color="auto" w:fill="000080"/>
    </w:rPr>
  </w:style>
  <w:style w:type="character" w:customStyle="1" w:styleId="153">
    <w:name w:val="para_small"/>
    <w:basedOn w:val="62"/>
    <w:qFormat/>
    <w:uiPriority w:val="0"/>
    <w:rPr>
      <w:rFonts w:cs="Times New Roman"/>
    </w:rPr>
  </w:style>
  <w:style w:type="character" w:customStyle="1" w:styleId="154">
    <w:name w:val="2nd level Char"/>
    <w:qFormat/>
    <w:uiPriority w:val="0"/>
    <w:rPr>
      <w:rFonts w:ascii="Arial" w:hAnsi="Arial" w:eastAsia="黑体"/>
      <w:b/>
      <w:kern w:val="2"/>
      <w:sz w:val="32"/>
      <w:lang w:val="en-US" w:eastAsia="zh-CN"/>
    </w:rPr>
  </w:style>
  <w:style w:type="character" w:customStyle="1" w:styleId="155">
    <w:name w:val="小四 段落 宋体 Char Char Char Char1"/>
    <w:qFormat/>
    <w:uiPriority w:val="0"/>
    <w:rPr>
      <w:rFonts w:eastAsia="宋体"/>
      <w:kern w:val="2"/>
      <w:sz w:val="24"/>
      <w:lang w:val="en-US" w:eastAsia="zh-CN"/>
    </w:rPr>
  </w:style>
  <w:style w:type="character" w:customStyle="1" w:styleId="156">
    <w:name w:val="Body Text Indent 2 Char1"/>
    <w:basedOn w:val="62"/>
    <w:qFormat/>
    <w:uiPriority w:val="0"/>
    <w:rPr>
      <w:rFonts w:ascii="Times New Roman" w:hAnsi="Times New Roman"/>
      <w:kern w:val="2"/>
      <w:sz w:val="21"/>
    </w:rPr>
  </w:style>
  <w:style w:type="character" w:customStyle="1" w:styleId="157">
    <w:name w:val="标题 9 字符"/>
    <w:basedOn w:val="62"/>
    <w:link w:val="14"/>
    <w:qFormat/>
    <w:uiPriority w:val="0"/>
    <w:rPr>
      <w:rFonts w:ascii="Arial" w:hAnsi="Arial" w:eastAsia="黑体" w:cs="Times New Roman"/>
      <w:sz w:val="21"/>
      <w:szCs w:val="21"/>
    </w:rPr>
  </w:style>
  <w:style w:type="character" w:customStyle="1" w:styleId="158">
    <w:name w:val="明显强调1"/>
    <w:basedOn w:val="62"/>
    <w:qFormat/>
    <w:uiPriority w:val="0"/>
    <w:rPr>
      <w:b/>
    </w:rPr>
  </w:style>
  <w:style w:type="character" w:customStyle="1" w:styleId="159">
    <w:name w:val="标题 2 字符"/>
    <w:basedOn w:val="62"/>
    <w:link w:val="3"/>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1">
    <w:name w:val="Quote Char2"/>
    <w:basedOn w:val="62"/>
    <w:qFormat/>
    <w:uiPriority w:val="0"/>
    <w:rPr>
      <w:rFonts w:ascii="Times New Roman" w:hAnsi="Times New Roman" w:eastAsia="宋体" w:cs="Times New Roman"/>
      <w:i/>
      <w:iCs/>
      <w:color w:val="000000"/>
      <w:sz w:val="20"/>
      <w:szCs w:val="20"/>
    </w:rPr>
  </w:style>
  <w:style w:type="character" w:customStyle="1" w:styleId="162">
    <w:name w:val="小四 段落 宋体 Char Char Char1"/>
    <w:qFormat/>
    <w:uiPriority w:val="0"/>
    <w:rPr>
      <w:rFonts w:ascii="宋体" w:hAnsi="宋体" w:eastAsia="宋体"/>
      <w:kern w:val="2"/>
      <w:sz w:val="24"/>
      <w:lang w:val="en-US" w:eastAsia="zh-CN"/>
    </w:rPr>
  </w:style>
  <w:style w:type="character" w:customStyle="1" w:styleId="163">
    <w:name w:val="正文文本缩进 2 字符"/>
    <w:basedOn w:val="62"/>
    <w:link w:val="34"/>
    <w:qFormat/>
    <w:uiPriority w:val="0"/>
    <w:rPr>
      <w:rFonts w:ascii="Times New Roman" w:hAnsi="Times New Roman" w:eastAsia="宋体" w:cs="Times New Roman"/>
      <w:sz w:val="20"/>
      <w:szCs w:val="20"/>
    </w:rPr>
  </w:style>
  <w:style w:type="character" w:customStyle="1" w:styleId="164">
    <w:name w:val="Quote Char1"/>
    <w:basedOn w:val="62"/>
    <w:link w:val="165"/>
    <w:qFormat/>
    <w:uiPriority w:val="0"/>
    <w:rPr>
      <w:rFonts w:ascii="Times New Roman" w:hAnsi="Times New Roman"/>
      <w:i/>
      <w:iCs/>
      <w:color w:val="000000"/>
      <w:kern w:val="2"/>
      <w:sz w:val="21"/>
    </w:rPr>
  </w:style>
  <w:style w:type="paragraph" w:customStyle="1" w:styleId="165">
    <w:name w:val="引用1"/>
    <w:basedOn w:val="1"/>
    <w:next w:val="1"/>
    <w:link w:val="164"/>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qFormat/>
    <w:uiPriority w:val="0"/>
    <w:rPr>
      <w:rFonts w:ascii="宋体" w:hAnsi="Times New Roman" w:eastAsia="宋体" w:cs="Times New Roman"/>
      <w:sz w:val="18"/>
      <w:szCs w:val="18"/>
    </w:rPr>
  </w:style>
  <w:style w:type="character" w:customStyle="1" w:styleId="167">
    <w:name w:val="HTML 预设格式 字符"/>
    <w:basedOn w:val="62"/>
    <w:link w:val="54"/>
    <w:qFormat/>
    <w:uiPriority w:val="0"/>
    <w:rPr>
      <w:rFonts w:ascii="Courier New" w:hAnsi="Courier New" w:cs="Courier New"/>
      <w:kern w:val="2"/>
    </w:rPr>
  </w:style>
  <w:style w:type="character" w:customStyle="1" w:styleId="168">
    <w:name w:val="标准文本 Char Char Char"/>
    <w:qFormat/>
    <w:uiPriority w:val="0"/>
    <w:rPr>
      <w:rFonts w:eastAsia="宋体"/>
      <w:kern w:val="2"/>
      <w:sz w:val="24"/>
      <w:lang w:val="en-US" w:eastAsia="zh-CN"/>
    </w:rPr>
  </w:style>
  <w:style w:type="character" w:customStyle="1" w:styleId="169">
    <w:name w:val="正文文本缩进 字符"/>
    <w:basedOn w:val="62"/>
    <w:link w:val="6"/>
    <w:qFormat/>
    <w:uiPriority w:val="0"/>
    <w:rPr>
      <w:rFonts w:ascii="Times New Roman" w:hAnsi="Times New Roman"/>
      <w:kern w:val="2"/>
      <w:sz w:val="21"/>
    </w:rPr>
  </w:style>
  <w:style w:type="character" w:customStyle="1" w:styleId="170">
    <w:name w:val="标题 字符"/>
    <w:basedOn w:val="62"/>
    <w:link w:val="57"/>
    <w:qFormat/>
    <w:uiPriority w:val="0"/>
    <w:rPr>
      <w:rFonts w:ascii="Cambria" w:hAnsi="Cambria" w:eastAsia="宋体" w:cs="Times New Roman"/>
      <w:b/>
      <w:bCs/>
      <w:sz w:val="32"/>
      <w:szCs w:val="32"/>
    </w:rPr>
  </w:style>
  <w:style w:type="character" w:customStyle="1" w:styleId="171">
    <w:name w:val="纯文本 Char Char"/>
    <w:qFormat/>
    <w:uiPriority w:val="0"/>
    <w:rPr>
      <w:rFonts w:ascii="宋体" w:hAnsi="Courier New" w:eastAsia="宋体"/>
      <w:kern w:val="2"/>
      <w:sz w:val="21"/>
      <w:lang w:val="en-US" w:eastAsia="zh-CN"/>
    </w:rPr>
  </w:style>
  <w:style w:type="character" w:customStyle="1" w:styleId="172">
    <w:name w:val="case31"/>
    <w:qFormat/>
    <w:uiPriority w:val="0"/>
    <w:rPr>
      <w:sz w:val="21"/>
    </w:rPr>
  </w:style>
  <w:style w:type="character" w:customStyle="1" w:styleId="173">
    <w:name w:val="正文文本 2 字符"/>
    <w:basedOn w:val="62"/>
    <w:link w:val="53"/>
    <w:qFormat/>
    <w:uiPriority w:val="0"/>
    <w:rPr>
      <w:rFonts w:ascii="楷体_GB2312" w:hAnsi="Times New Roman" w:eastAsia="楷体_GB2312" w:cs="Times New Roman"/>
      <w:sz w:val="20"/>
      <w:szCs w:val="20"/>
    </w:rPr>
  </w:style>
  <w:style w:type="character" w:customStyle="1" w:styleId="174">
    <w:name w:val="标题 3 Char Char"/>
    <w:qFormat/>
    <w:uiPriority w:val="0"/>
    <w:rPr>
      <w:rFonts w:eastAsia="仿宋_GB2312"/>
      <w:b/>
      <w:kern w:val="2"/>
      <w:sz w:val="32"/>
      <w:lang w:val="en-US" w:eastAsia="zh-CN"/>
    </w:rPr>
  </w:style>
  <w:style w:type="character" w:customStyle="1" w:styleId="175">
    <w:name w:val="正文缩进 Char1"/>
    <w:link w:val="176"/>
    <w:qFormat/>
    <w:uiPriority w:val="0"/>
    <w:rPr>
      <w:rFonts w:ascii="Times New Roman" w:hAnsi="Times New Roman" w:eastAsia="宋体"/>
      <w:kern w:val="0"/>
      <w:sz w:val="20"/>
    </w:rPr>
  </w:style>
  <w:style w:type="paragraph" w:customStyle="1" w:styleId="176">
    <w:name w:val="正文缩进1"/>
    <w:basedOn w:val="1"/>
    <w:link w:val="175"/>
    <w:qFormat/>
    <w:uiPriority w:val="0"/>
    <w:pPr>
      <w:ind w:firstLine="420"/>
    </w:pPr>
    <w:rPr>
      <w:kern w:val="0"/>
      <w:sz w:val="20"/>
    </w:rPr>
  </w:style>
  <w:style w:type="character" w:customStyle="1" w:styleId="177">
    <w:name w:val="新图表正文 Char Char"/>
    <w:link w:val="178"/>
    <w:qFormat/>
    <w:uiPriority w:val="0"/>
    <w:rPr>
      <w:rFonts w:ascii="宋体" w:hAnsi="宋体"/>
      <w:kern w:val="2"/>
      <w:sz w:val="18"/>
      <w:szCs w:val="21"/>
      <w:lang w:val="en-US" w:eastAsia="zh-CN" w:bidi="ar-SA"/>
    </w:rPr>
  </w:style>
  <w:style w:type="paragraph" w:customStyle="1" w:styleId="178">
    <w:name w:val="新图表正文"/>
    <w:link w:val="177"/>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Intense Quote Char1"/>
    <w:basedOn w:val="62"/>
    <w:link w:val="181"/>
    <w:qFormat/>
    <w:uiPriority w:val="0"/>
    <w:rPr>
      <w:rFonts w:ascii="Times New Roman" w:hAnsi="Times New Roman"/>
      <w:b/>
      <w:bCs/>
      <w:i/>
      <w:iCs/>
      <w:color w:val="4F81BD"/>
      <w:kern w:val="2"/>
      <w:sz w:val="21"/>
    </w:rPr>
  </w:style>
  <w:style w:type="paragraph" w:customStyle="1" w:styleId="181">
    <w:name w:val="明显引用1"/>
    <w:basedOn w:val="1"/>
    <w:next w:val="1"/>
    <w:link w:val="180"/>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qFormat/>
    <w:uiPriority w:val="0"/>
    <w:rPr>
      <w:rFonts w:ascii="Arial" w:hAnsi="Arial" w:eastAsia="黑体"/>
      <w:kern w:val="2"/>
      <w:sz w:val="21"/>
    </w:rPr>
  </w:style>
  <w:style w:type="character" w:customStyle="1" w:styleId="183">
    <w:name w:val="No Spacing Char Char"/>
    <w:link w:val="184"/>
    <w:qFormat/>
    <w:uiPriority w:val="0"/>
    <w:rPr>
      <w:rFonts w:eastAsia="微软雅黑"/>
      <w:kern w:val="2"/>
      <w:sz w:val="24"/>
      <w:szCs w:val="22"/>
      <w:lang w:val="en-US" w:eastAsia="zh-CN" w:bidi="ar-SA"/>
    </w:rPr>
  </w:style>
  <w:style w:type="paragraph" w:customStyle="1" w:styleId="184">
    <w:name w:val="无间隔2"/>
    <w:link w:val="183"/>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qFormat/>
    <w:uiPriority w:val="0"/>
    <w:rPr>
      <w:rFonts w:eastAsia="宋体"/>
      <w:kern w:val="2"/>
      <w:sz w:val="24"/>
      <w:lang w:val="en-US" w:eastAsia="zh-CN"/>
    </w:rPr>
  </w:style>
  <w:style w:type="character" w:customStyle="1" w:styleId="186">
    <w:name w:val="3zw"/>
    <w:basedOn w:val="62"/>
    <w:qFormat/>
    <w:uiPriority w:val="0"/>
    <w:rPr>
      <w:rFonts w:cs="Times New Roman"/>
    </w:rPr>
  </w:style>
  <w:style w:type="character" w:customStyle="1" w:styleId="187">
    <w:name w:val="Intense Quote Char Char"/>
    <w:qFormat/>
    <w:uiPriority w:val="0"/>
    <w:rPr>
      <w:rFonts w:ascii="Calibri" w:hAnsi="Calibri"/>
      <w:b/>
      <w:i/>
      <w:sz w:val="22"/>
      <w:lang w:eastAsia="en-US"/>
    </w:rPr>
  </w:style>
  <w:style w:type="character" w:customStyle="1" w:styleId="188">
    <w:name w:val="Body Text Indent 3 Char"/>
    <w:qFormat/>
    <w:uiPriority w:val="0"/>
    <w:rPr>
      <w:rFonts w:ascii="Arial" w:hAnsi="Arial" w:eastAsia="仿宋_GB2312"/>
      <w:color w:val="FFFF00"/>
      <w:sz w:val="32"/>
    </w:rPr>
  </w:style>
  <w:style w:type="character" w:customStyle="1" w:styleId="189">
    <w:name w:val="A2"/>
    <w:qFormat/>
    <w:uiPriority w:val="0"/>
    <w:rPr>
      <w:color w:val="000000"/>
      <w:sz w:val="18"/>
    </w:rPr>
  </w:style>
  <w:style w:type="character" w:customStyle="1" w:styleId="190">
    <w:name w:val="标题 1 字符"/>
    <w:basedOn w:val="62"/>
    <w:link w:val="2"/>
    <w:qFormat/>
    <w:uiPriority w:val="0"/>
    <w:rPr>
      <w:rFonts w:ascii="黑体" w:hAnsi="Times New Roman" w:eastAsia="黑体" w:cs="Times New Roman"/>
      <w:b/>
      <w:kern w:val="44"/>
      <w:sz w:val="28"/>
      <w:szCs w:val="28"/>
    </w:rPr>
  </w:style>
  <w:style w:type="character" w:customStyle="1" w:styleId="191">
    <w:name w:val="明显参考1"/>
    <w:basedOn w:val="62"/>
    <w:qFormat/>
    <w:uiPriority w:val="0"/>
    <w:rPr>
      <w:smallCaps/>
      <w:spacing w:val="5"/>
      <w:u w:val="single"/>
    </w:rPr>
  </w:style>
  <w:style w:type="character" w:customStyle="1" w:styleId="192">
    <w:name w:val="称呼 字符"/>
    <w:basedOn w:val="62"/>
    <w:link w:val="24"/>
    <w:qFormat/>
    <w:uiPriority w:val="0"/>
    <w:rPr>
      <w:rFonts w:ascii="仿宋_GB2312" w:hAnsi="Times New Roman" w:eastAsia="仿宋_GB2312" w:cs="Times New Roman"/>
      <w:sz w:val="20"/>
      <w:szCs w:val="20"/>
    </w:rPr>
  </w:style>
  <w:style w:type="character" w:customStyle="1" w:styleId="193">
    <w:name w:val="111111 Char Char"/>
    <w:link w:val="194"/>
    <w:qFormat/>
    <w:uiPriority w:val="0"/>
    <w:rPr>
      <w:rFonts w:ascii="宋体" w:hAnsi="宋体" w:eastAsia="黑体"/>
      <w:b/>
      <w:sz w:val="21"/>
    </w:rPr>
  </w:style>
  <w:style w:type="paragraph" w:customStyle="1" w:styleId="194">
    <w:name w:val="111111"/>
    <w:basedOn w:val="1"/>
    <w:link w:val="193"/>
    <w:qFormat/>
    <w:uiPriority w:val="0"/>
    <w:pPr>
      <w:spacing w:before="120" w:after="120"/>
      <w:jc w:val="center"/>
    </w:pPr>
    <w:rPr>
      <w:rFonts w:ascii="宋体" w:hAnsi="宋体" w:eastAsia="黑体"/>
      <w:b/>
      <w:kern w:val="0"/>
    </w:rPr>
  </w:style>
  <w:style w:type="character" w:customStyle="1" w:styleId="195">
    <w:name w:val="小四 段落 宋体 Char1"/>
    <w:qFormat/>
    <w:uiPriority w:val="0"/>
    <w:rPr>
      <w:rFonts w:eastAsia="宋体"/>
      <w:kern w:val="2"/>
      <w:sz w:val="24"/>
      <w:lang w:val="en-US" w:eastAsia="zh-CN"/>
    </w:rPr>
  </w:style>
  <w:style w:type="character" w:customStyle="1" w:styleId="196">
    <w:name w:val="文档结构图 字符"/>
    <w:basedOn w:val="62"/>
    <w:link w:val="21"/>
    <w:qFormat/>
    <w:uiPriority w:val="0"/>
    <w:rPr>
      <w:rFonts w:ascii="Times New Roman" w:hAnsi="Times New Roman"/>
      <w:kern w:val="2"/>
      <w:sz w:val="16"/>
      <w:szCs w:val="0"/>
    </w:rPr>
  </w:style>
  <w:style w:type="character" w:customStyle="1" w:styleId="197">
    <w:name w:val="title_emph1"/>
    <w:qFormat/>
    <w:uiPriority w:val="0"/>
    <w:rPr>
      <w:rFonts w:ascii="Arial"/>
      <w:b/>
      <w:sz w:val="18"/>
    </w:rPr>
  </w:style>
  <w:style w:type="character" w:customStyle="1" w:styleId="198">
    <w:name w:val="页脚 字符"/>
    <w:basedOn w:val="62"/>
    <w:link w:val="37"/>
    <w:qFormat/>
    <w:uiPriority w:val="0"/>
    <w:rPr>
      <w:rFonts w:cs="Times New Roman"/>
      <w:sz w:val="18"/>
      <w:szCs w:val="18"/>
    </w:rPr>
  </w:style>
  <w:style w:type="character" w:customStyle="1" w:styleId="199">
    <w:name w:val="书籍标题1"/>
    <w:basedOn w:val="62"/>
    <w:qFormat/>
    <w:uiPriority w:val="0"/>
    <w:rPr>
      <w:i/>
      <w:smallCaps/>
      <w:spacing w:val="5"/>
    </w:rPr>
  </w:style>
  <w:style w:type="character" w:customStyle="1" w:styleId="200">
    <w:name w:val="不明显参考1"/>
    <w:basedOn w:val="62"/>
    <w:qFormat/>
    <w:uiPriority w:val="0"/>
    <w:rPr>
      <w:smallCaps/>
    </w:rPr>
  </w:style>
  <w:style w:type="character" w:customStyle="1" w:styleId="201">
    <w:name w:val="样式 首行缩进:  2 字符 Char Char"/>
    <w:link w:val="202"/>
    <w:qFormat/>
    <w:uiPriority w:val="0"/>
    <w:rPr>
      <w:sz w:val="24"/>
    </w:rPr>
  </w:style>
  <w:style w:type="paragraph" w:customStyle="1" w:styleId="202">
    <w:name w:val="样式 首行缩进:  2 字符"/>
    <w:basedOn w:val="1"/>
    <w:link w:val="201"/>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8"/>
    <w:qFormat/>
    <w:uiPriority w:val="0"/>
    <w:rPr>
      <w:rFonts w:ascii="宋体" w:hAnsi="宋体" w:eastAsia="宋体"/>
      <w:b/>
      <w:sz w:val="21"/>
      <w:shd w:val="clear" w:color="auto" w:fill="FFFFFF"/>
    </w:rPr>
  </w:style>
  <w:style w:type="character" w:customStyle="1" w:styleId="204">
    <w:name w:val="Char Char22"/>
    <w:qFormat/>
    <w:uiPriority w:val="0"/>
    <w:rPr>
      <w:b/>
      <w:kern w:val="2"/>
      <w:sz w:val="24"/>
    </w:rPr>
  </w:style>
  <w:style w:type="character" w:customStyle="1" w:styleId="205">
    <w:name w:val="批注框文本 字符"/>
    <w:basedOn w:val="62"/>
    <w:link w:val="36"/>
    <w:qFormat/>
    <w:uiPriority w:val="0"/>
    <w:rPr>
      <w:rFonts w:ascii="Times New Roman" w:hAnsi="Times New Roman" w:eastAsia="宋体" w:cs="Times New Roman"/>
      <w:sz w:val="18"/>
      <w:szCs w:val="18"/>
    </w:rPr>
  </w:style>
  <w:style w:type="character" w:customStyle="1" w:styleId="206">
    <w:name w:val="尾注文本 字符"/>
    <w:basedOn w:val="62"/>
    <w:link w:val="35"/>
    <w:qFormat/>
    <w:uiPriority w:val="0"/>
    <w:rPr>
      <w:rFonts w:ascii="Times New Roman" w:hAnsi="Times New Roman" w:eastAsia="宋体" w:cs="Times New Roman"/>
      <w:kern w:val="0"/>
      <w:sz w:val="24"/>
      <w:szCs w:val="24"/>
    </w:rPr>
  </w:style>
  <w:style w:type="character" w:customStyle="1" w:styleId="207">
    <w:name w:val="point_normal1"/>
    <w:qFormat/>
    <w:uiPriority w:val="0"/>
    <w:rPr>
      <w:rFonts w:ascii="Arial" w:hAnsi="Arial"/>
      <w:sz w:val="18"/>
    </w:rPr>
  </w:style>
  <w:style w:type="character" w:customStyle="1" w:styleId="208">
    <w:name w:val="Char Char26"/>
    <w:qFormat/>
    <w:uiPriority w:val="0"/>
    <w:rPr>
      <w:b/>
      <w:kern w:val="2"/>
      <w:sz w:val="32"/>
    </w:rPr>
  </w:style>
  <w:style w:type="character" w:customStyle="1" w:styleId="209">
    <w:name w:val="Char Char24"/>
    <w:qFormat/>
    <w:uiPriority w:val="0"/>
    <w:rPr>
      <w:b/>
      <w:kern w:val="2"/>
      <w:sz w:val="28"/>
    </w:rPr>
  </w:style>
  <w:style w:type="character" w:customStyle="1" w:styleId="210">
    <w:name w:val="concon"/>
    <w:qFormat/>
    <w:uiPriority w:val="0"/>
  </w:style>
  <w:style w:type="paragraph" w:customStyle="1" w:styleId="211">
    <w:name w:val="标准文本"/>
    <w:basedOn w:val="1"/>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qFormat/>
    <w:uiPriority w:val="0"/>
    <w:pPr>
      <w:widowControl/>
      <w:spacing w:after="160" w:line="240" w:lineRule="exact"/>
      <w:jc w:val="left"/>
    </w:pPr>
    <w:rPr>
      <w:szCs w:val="24"/>
    </w:rPr>
  </w:style>
  <w:style w:type="paragraph" w:customStyle="1" w:styleId="213">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qFormat/>
    <w:uiPriority w:val="0"/>
    <w:pPr>
      <w:spacing w:after="284"/>
    </w:pPr>
    <w:rPr>
      <w:rFonts w:eastAsia="宋体"/>
      <w:b w:val="0"/>
    </w:rPr>
  </w:style>
  <w:style w:type="paragraph" w:customStyle="1" w:styleId="215">
    <w:name w:val="flName"/>
    <w:basedOn w:val="216"/>
    <w:qFormat/>
    <w:uiPriority w:val="0"/>
    <w:pPr>
      <w:spacing w:before="0" w:line="113" w:lineRule="atLeast"/>
    </w:pPr>
  </w:style>
  <w:style w:type="paragraph" w:customStyle="1" w:styleId="216">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qFormat/>
    <w:uiPriority w:val="0"/>
    <w:pPr>
      <w:spacing w:line="360" w:lineRule="auto"/>
      <w:ind w:firstLine="200" w:firstLineChars="200"/>
    </w:pPr>
    <w:rPr>
      <w:bCs/>
      <w:sz w:val="24"/>
      <w:szCs w:val="24"/>
    </w:rPr>
  </w:style>
  <w:style w:type="paragraph" w:customStyle="1" w:styleId="21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qFormat/>
    <w:uiPriority w:val="0"/>
    <w:pPr>
      <w:tabs>
        <w:tab w:val="left" w:pos="360"/>
      </w:tabs>
      <w:ind w:left="200" w:hanging="200" w:hangingChars="200"/>
    </w:pPr>
    <w:rPr>
      <w:sz w:val="24"/>
      <w:szCs w:val="24"/>
    </w:rPr>
  </w:style>
  <w:style w:type="paragraph" w:customStyle="1" w:styleId="220">
    <w:name w:val="greytypebeni"/>
    <w:basedOn w:val="1"/>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qFormat/>
    <w:uiPriority w:val="0"/>
    <w:rPr>
      <w:rFonts w:ascii="Tahoma" w:hAnsi="Tahoma"/>
      <w:sz w:val="24"/>
    </w:rPr>
  </w:style>
  <w:style w:type="paragraph" w:customStyle="1" w:styleId="222">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3">
    <w:name w:val="Char Char1"/>
    <w:basedOn w:val="1"/>
    <w:qFormat/>
    <w:uiPriority w:val="0"/>
    <w:rPr>
      <w:rFonts w:ascii="Tahoma" w:hAnsi="Tahoma" w:cs="Tahoma"/>
      <w:sz w:val="24"/>
    </w:rPr>
  </w:style>
  <w:style w:type="paragraph" w:customStyle="1" w:styleId="224">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qFormat/>
    <w:uiPriority w:val="0"/>
    <w:pPr>
      <w:ind w:firstLine="420" w:firstLineChars="200"/>
    </w:pPr>
    <w:rPr>
      <w:rFonts w:ascii="Calibri" w:hAnsi="Calibri"/>
      <w:szCs w:val="22"/>
    </w:rPr>
  </w:style>
  <w:style w:type="paragraph" w:customStyle="1" w:styleId="22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qFormat/>
    <w:uiPriority w:val="0"/>
  </w:style>
  <w:style w:type="paragraph" w:customStyle="1" w:styleId="231">
    <w:name w:val="样式 样式 首行缩进:  2 字符 + 行距: 1.5 倍行距"/>
    <w:basedOn w:val="1"/>
    <w:qFormat/>
    <w:uiPriority w:val="0"/>
    <w:pPr>
      <w:spacing w:line="360" w:lineRule="auto"/>
      <w:ind w:firstLine="470" w:firstLineChars="196"/>
    </w:pPr>
    <w:rPr>
      <w:sz w:val="24"/>
    </w:rPr>
  </w:style>
  <w:style w:type="paragraph" w:customStyle="1" w:styleId="232">
    <w:name w:val="正文11"/>
    <w:basedOn w:val="1"/>
    <w:next w:val="1"/>
    <w:qFormat/>
    <w:uiPriority w:val="0"/>
    <w:pPr>
      <w:spacing w:before="156" w:line="360" w:lineRule="auto"/>
      <w:ind w:firstLine="510" w:firstLineChars="200"/>
    </w:pPr>
    <w:rPr>
      <w:sz w:val="24"/>
    </w:rPr>
  </w:style>
  <w:style w:type="paragraph" w:customStyle="1" w:styleId="233">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qFormat/>
    <w:uiPriority w:val="0"/>
    <w:rPr>
      <w:rFonts w:ascii="Tahoma" w:hAnsi="Tahoma"/>
      <w:sz w:val="24"/>
    </w:rPr>
  </w:style>
  <w:style w:type="paragraph" w:customStyle="1" w:styleId="235">
    <w:name w:val="丁华正文"/>
    <w:basedOn w:val="47"/>
    <w:qFormat/>
    <w:uiPriority w:val="0"/>
    <w:pPr>
      <w:adjustRightInd w:val="0"/>
      <w:snapToGrid w:val="0"/>
      <w:spacing w:line="360" w:lineRule="auto"/>
      <w:ind w:left="0" w:firstLine="510"/>
    </w:pPr>
    <w:rPr>
      <w:sz w:val="24"/>
    </w:rPr>
  </w:style>
  <w:style w:type="paragraph" w:customStyle="1" w:styleId="236">
    <w:name w:val="正文 居中"/>
    <w:basedOn w:val="1"/>
    <w:qFormat/>
    <w:uiPriority w:val="0"/>
    <w:pPr>
      <w:spacing w:line="360" w:lineRule="auto"/>
      <w:jc w:val="center"/>
    </w:pPr>
    <w:rPr>
      <w:sz w:val="24"/>
    </w:rPr>
  </w:style>
  <w:style w:type="paragraph" w:customStyle="1" w:styleId="237">
    <w:name w:val="Char Char3"/>
    <w:basedOn w:val="1"/>
    <w:qFormat/>
    <w:uiPriority w:val="0"/>
    <w:rPr>
      <w:rFonts w:ascii="Tahoma" w:hAnsi="Tahoma" w:cs="Tahoma"/>
      <w:sz w:val="24"/>
    </w:rPr>
  </w:style>
  <w:style w:type="paragraph" w:customStyle="1" w:styleId="238">
    <w:name w:val="Char Char Char Char Char"/>
    <w:basedOn w:val="1"/>
    <w:qFormat/>
    <w:uiPriority w:val="0"/>
    <w:rPr>
      <w:rFonts w:ascii="Tahoma" w:hAnsi="Tahoma"/>
      <w:sz w:val="24"/>
    </w:rPr>
  </w:style>
  <w:style w:type="paragraph" w:customStyle="1" w:styleId="23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qFormat/>
    <w:uiPriority w:val="0"/>
    <w:rPr>
      <w:rFonts w:ascii="Tahoma" w:hAnsi="Tahoma" w:cs="Tahoma"/>
      <w:sz w:val="24"/>
    </w:rPr>
  </w:style>
  <w:style w:type="paragraph" w:customStyle="1" w:styleId="241">
    <w:name w:val="样式"/>
    <w:basedOn w:val="1"/>
    <w:qFormat/>
    <w:uiPriority w:val="0"/>
    <w:pPr>
      <w:autoSpaceDE w:val="0"/>
      <w:autoSpaceDN w:val="0"/>
      <w:snapToGrid w:val="0"/>
      <w:spacing w:before="120" w:after="120" w:line="360" w:lineRule="auto"/>
    </w:pPr>
    <w:rPr>
      <w:rFonts w:ascii="宋体"/>
      <w:sz w:val="24"/>
    </w:rPr>
  </w:style>
  <w:style w:type="paragraph" w:customStyle="1" w:styleId="24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qFormat/>
    <w:uiPriority w:val="0"/>
    <w:rPr>
      <w:rFonts w:ascii="Tahoma" w:hAnsi="Tahoma"/>
      <w:sz w:val="24"/>
    </w:rPr>
  </w:style>
  <w:style w:type="paragraph" w:customStyle="1" w:styleId="24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qFormat/>
    <w:uiPriority w:val="0"/>
    <w:rPr>
      <w:sz w:val="24"/>
      <w:szCs w:val="24"/>
    </w:rPr>
  </w:style>
  <w:style w:type="paragraph" w:customStyle="1" w:styleId="251">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qFormat/>
    <w:uiPriority w:val="0"/>
    <w:pPr>
      <w:tabs>
        <w:tab w:val="left" w:pos="693"/>
      </w:tabs>
      <w:ind w:left="482"/>
      <w:outlineLvl w:val="0"/>
    </w:pPr>
    <w:rPr>
      <w:color w:val="000000"/>
      <w:sz w:val="24"/>
      <w:szCs w:val="24"/>
    </w:rPr>
  </w:style>
  <w:style w:type="paragraph" w:customStyle="1" w:styleId="254">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6">
    <w:name w:val="正文表标题"/>
    <w:next w:val="248"/>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qFormat/>
    <w:uiPriority w:val="0"/>
  </w:style>
  <w:style w:type="paragraph" w:customStyle="1" w:styleId="258">
    <w:name w:val="Char Char Char1"/>
    <w:basedOn w:val="21"/>
    <w:qFormat/>
    <w:uiPriority w:val="0"/>
    <w:pPr>
      <w:spacing w:line="436" w:lineRule="exact"/>
    </w:pPr>
    <w:rPr>
      <w:szCs w:val="24"/>
    </w:rPr>
  </w:style>
  <w:style w:type="paragraph" w:customStyle="1" w:styleId="259">
    <w:name w:val="表格1"/>
    <w:basedOn w:val="1"/>
    <w:qFormat/>
    <w:uiPriority w:val="0"/>
    <w:pPr>
      <w:adjustRightInd w:val="0"/>
      <w:textAlignment w:val="baseline"/>
    </w:pPr>
    <w:rPr>
      <w:rFonts w:ascii="宋体"/>
      <w:kern w:val="24"/>
      <w:szCs w:val="21"/>
    </w:rPr>
  </w:style>
  <w:style w:type="paragraph" w:customStyle="1" w:styleId="260">
    <w:name w:val="项目符号：一级"/>
    <w:basedOn w:val="254"/>
    <w:next w:val="254"/>
    <w:qFormat/>
    <w:uiPriority w:val="0"/>
    <w:pPr>
      <w:ind w:right="-134" w:rightChars="-64"/>
    </w:pPr>
    <w:rPr>
      <w:bCs w:val="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qFormat/>
    <w:uiPriority w:val="0"/>
    <w:rPr>
      <w:rFonts w:ascii="Tahoma" w:hAnsi="Tahoma" w:cs="Tahoma"/>
      <w:sz w:val="24"/>
    </w:rPr>
  </w:style>
  <w:style w:type="paragraph" w:customStyle="1" w:styleId="263">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qFormat/>
    <w:uiPriority w:val="0"/>
    <w:pPr>
      <w:spacing w:after="120"/>
      <w:ind w:left="420" w:leftChars="200"/>
    </w:pPr>
    <w:rPr>
      <w:szCs w:val="24"/>
    </w:rPr>
  </w:style>
  <w:style w:type="paragraph" w:customStyle="1" w:styleId="265">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qFormat/>
    <w:uiPriority w:val="0"/>
    <w:pPr>
      <w:jc w:val="left"/>
    </w:pPr>
    <w:rPr>
      <w:rFonts w:ascii="Tahoma" w:hAnsi="Tahoma"/>
      <w:sz w:val="24"/>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qFormat/>
    <w:uiPriority w:val="0"/>
    <w:pPr>
      <w:spacing w:line="300" w:lineRule="atLeast"/>
    </w:pPr>
    <w:rPr>
      <w:sz w:val="18"/>
      <w:szCs w:val="24"/>
    </w:rPr>
  </w:style>
  <w:style w:type="paragraph" w:customStyle="1" w:styleId="270">
    <w:name w:val="样式3"/>
    <w:basedOn w:val="1"/>
    <w:next w:val="1"/>
    <w:qFormat/>
    <w:uiPriority w:val="0"/>
    <w:pPr>
      <w:spacing w:line="360" w:lineRule="auto"/>
    </w:pPr>
  </w:style>
  <w:style w:type="paragraph" w:customStyle="1" w:styleId="271">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qFormat/>
    <w:uiPriority w:val="0"/>
    <w:pPr>
      <w:tabs>
        <w:tab w:val="left" w:pos="720"/>
      </w:tabs>
      <w:spacing w:afterLines="50" w:line="400" w:lineRule="atLeast"/>
      <w:ind w:left="720"/>
    </w:pPr>
    <w:rPr>
      <w:sz w:val="24"/>
      <w:szCs w:val="24"/>
    </w:rPr>
  </w:style>
  <w:style w:type="paragraph" w:customStyle="1" w:styleId="275">
    <w:name w:val="正文2"/>
    <w:basedOn w:val="1"/>
    <w:qFormat/>
    <w:uiPriority w:val="0"/>
    <w:pPr>
      <w:spacing w:before="156" w:line="360" w:lineRule="auto"/>
      <w:ind w:firstLine="510" w:firstLineChars="200"/>
    </w:pPr>
    <w:rPr>
      <w:sz w:val="24"/>
    </w:rPr>
  </w:style>
  <w:style w:type="paragraph" w:customStyle="1" w:styleId="276">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qFormat/>
    <w:uiPriority w:val="0"/>
    <w:pPr>
      <w:tabs>
        <w:tab w:val="left" w:pos="360"/>
      </w:tabs>
      <w:ind w:left="360" w:hanging="360" w:hangingChars="200"/>
    </w:pPr>
    <w:rPr>
      <w:sz w:val="24"/>
      <w:szCs w:val="24"/>
    </w:rPr>
  </w:style>
  <w:style w:type="paragraph" w:customStyle="1" w:styleId="283">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8">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qFormat/>
    <w:uiPriority w:val="0"/>
    <w:rPr>
      <w:rFonts w:ascii="Tahoma" w:hAnsi="Tahoma" w:cs="Tahoma"/>
      <w:sz w:val="24"/>
    </w:rPr>
  </w:style>
  <w:style w:type="paragraph" w:customStyle="1" w:styleId="290">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qFormat/>
    <w:uiPriority w:val="0"/>
    <w:pPr>
      <w:widowControl/>
      <w:spacing w:before="100" w:beforeAutospacing="1" w:after="100" w:afterAutospacing="1"/>
      <w:jc w:val="left"/>
    </w:pPr>
    <w:rPr>
      <w:b/>
      <w:bCs/>
      <w:kern w:val="0"/>
      <w:sz w:val="18"/>
      <w:szCs w:val="18"/>
    </w:rPr>
  </w:style>
  <w:style w:type="paragraph" w:customStyle="1" w:styleId="2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9"/>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qFormat/>
    <w:uiPriority w:val="0"/>
    <w:rPr>
      <w:rFonts w:ascii="宋体" w:hAnsi="宋体" w:cs="宋体"/>
      <w:kern w:val="0"/>
      <w:sz w:val="24"/>
      <w:u w:color="000000"/>
    </w:rPr>
  </w:style>
  <w:style w:type="paragraph" w:customStyle="1" w:styleId="29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8"/>
    <w:qFormat/>
    <w:uiPriority w:val="0"/>
    <w:pPr>
      <w:keepNext w:val="0"/>
      <w:keepLines w:val="0"/>
      <w:spacing w:line="360" w:lineRule="auto"/>
    </w:pPr>
    <w:rPr>
      <w:rFonts w:eastAsia="仿宋_GB2312"/>
      <w:b w:val="0"/>
      <w:bCs/>
      <w:sz w:val="30"/>
      <w:szCs w:val="32"/>
    </w:rPr>
  </w:style>
  <w:style w:type="paragraph" w:customStyle="1" w:styleId="301">
    <w:name w:val="retrait3"/>
    <w:basedOn w:val="1"/>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qFormat/>
    <w:uiPriority w:val="0"/>
    <w:pPr>
      <w:adjustRightInd w:val="0"/>
      <w:spacing w:line="360" w:lineRule="auto"/>
      <w:textAlignment w:val="baseline"/>
    </w:pPr>
    <w:rPr>
      <w:b/>
      <w:bCs/>
      <w:sz w:val="28"/>
      <w:szCs w:val="21"/>
    </w:rPr>
  </w:style>
  <w:style w:type="paragraph" w:customStyle="1" w:styleId="30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qFormat/>
    <w:uiPriority w:val="0"/>
    <w:rPr>
      <w:rFonts w:ascii="楷体_GB2312" w:hAnsi="Arial" w:eastAsia="楷体_GB2312"/>
      <w:sz w:val="28"/>
    </w:rPr>
  </w:style>
  <w:style w:type="paragraph" w:customStyle="1" w:styleId="3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qFormat/>
    <w:uiPriority w:val="0"/>
    <w:rPr>
      <w:rFonts w:ascii="Tahoma" w:hAnsi="Tahoma"/>
      <w:sz w:val="24"/>
      <w:szCs w:val="24"/>
    </w:rPr>
  </w:style>
  <w:style w:type="paragraph" w:customStyle="1" w:styleId="31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qFormat/>
    <w:uiPriority w:val="0"/>
    <w:pPr>
      <w:spacing w:line="460" w:lineRule="exact"/>
      <w:ind w:firstLine="480"/>
    </w:pPr>
    <w:rPr>
      <w:sz w:val="24"/>
    </w:rPr>
  </w:style>
  <w:style w:type="paragraph" w:customStyle="1" w:styleId="318">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qFormat/>
    <w:uiPriority w:val="0"/>
    <w:pPr>
      <w:widowControl/>
      <w:spacing w:before="100" w:beforeAutospacing="1" w:after="100" w:afterAutospacing="1"/>
      <w:jc w:val="left"/>
    </w:pPr>
    <w:rPr>
      <w:b/>
      <w:bCs/>
      <w:kern w:val="0"/>
      <w:sz w:val="20"/>
    </w:rPr>
  </w:style>
  <w:style w:type="paragraph" w:customStyle="1" w:styleId="32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qFormat/>
    <w:uiPriority w:val="0"/>
    <w:rPr>
      <w:rFonts w:ascii="Tahoma" w:hAnsi="Tahoma"/>
      <w:sz w:val="24"/>
    </w:rPr>
  </w:style>
  <w:style w:type="paragraph" w:customStyle="1" w:styleId="324">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qFormat/>
    <w:uiPriority w:val="0"/>
    <w:pPr>
      <w:spacing w:line="360" w:lineRule="auto"/>
      <w:ind w:left="200" w:leftChars="200"/>
    </w:pPr>
    <w:rPr>
      <w:rFonts w:ascii="宋体" w:hAnsi="宋体"/>
      <w:b/>
      <w:sz w:val="24"/>
      <w:szCs w:val="24"/>
    </w:rPr>
  </w:style>
  <w:style w:type="paragraph" w:customStyle="1" w:styleId="326">
    <w:name w:val="条1"/>
    <w:basedOn w:val="1"/>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qFormat/>
    <w:uiPriority w:val="0"/>
    <w:pPr>
      <w:spacing w:line="360" w:lineRule="auto"/>
    </w:pPr>
    <w:rPr>
      <w:rFonts w:eastAsia="仿宋_GB2312"/>
      <w:sz w:val="24"/>
      <w:szCs w:val="24"/>
    </w:rPr>
  </w:style>
  <w:style w:type="paragraph" w:customStyle="1" w:styleId="332">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qFormat/>
    <w:uiPriority w:val="0"/>
    <w:pPr>
      <w:numPr>
        <w:ilvl w:val="1"/>
        <w:numId w:val="3"/>
      </w:numPr>
      <w:spacing w:line="413" w:lineRule="auto"/>
    </w:pPr>
    <w:rPr>
      <w:rFonts w:ascii="Arial" w:hAnsi="Arial" w:eastAsia="黑体"/>
      <w:b w:val="0"/>
      <w:sz w:val="28"/>
      <w:szCs w:val="20"/>
    </w:rPr>
  </w:style>
  <w:style w:type="paragraph" w:customStyle="1" w:styleId="347">
    <w:name w:val="修订1"/>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qFormat/>
    <w:uiPriority w:val="0"/>
    <w:pPr>
      <w:spacing w:afterLines="50" w:line="360" w:lineRule="auto"/>
    </w:pPr>
    <w:rPr>
      <w:rFonts w:ascii="Tahoma" w:hAnsi="Tahoma"/>
      <w:sz w:val="24"/>
    </w:rPr>
  </w:style>
  <w:style w:type="paragraph" w:customStyle="1" w:styleId="349">
    <w:name w:val="项目符号，二级"/>
    <w:basedOn w:val="254"/>
    <w:next w:val="254"/>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qFormat/>
    <w:uiPriority w:val="0"/>
    <w:rPr>
      <w:rFonts w:ascii="Tahoma" w:hAnsi="Tahoma" w:cs="Tahoma"/>
      <w:sz w:val="24"/>
    </w:rPr>
  </w:style>
  <w:style w:type="paragraph" w:customStyle="1" w:styleId="352">
    <w:name w:val="Char Char Char Char Char1"/>
    <w:basedOn w:val="1"/>
    <w:qFormat/>
    <w:uiPriority w:val="0"/>
    <w:rPr>
      <w:rFonts w:ascii="Tahoma" w:hAnsi="Tahoma" w:cs="Tahoma"/>
      <w:sz w:val="24"/>
    </w:rPr>
  </w:style>
  <w:style w:type="paragraph" w:customStyle="1" w:styleId="35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qFormat/>
    <w:uiPriority w:val="0"/>
    <w:pPr>
      <w:tabs>
        <w:tab w:val="left" w:pos="900"/>
      </w:tabs>
      <w:spacing w:afterLines="50" w:line="400" w:lineRule="atLeast"/>
      <w:ind w:left="900" w:hanging="420"/>
    </w:pPr>
    <w:rPr>
      <w:sz w:val="24"/>
      <w:szCs w:val="24"/>
    </w:rPr>
  </w:style>
  <w:style w:type="paragraph" w:customStyle="1" w:styleId="356">
    <w:name w:val="样式1"/>
    <w:basedOn w:val="1"/>
    <w:qFormat/>
    <w:uiPriority w:val="0"/>
    <w:pPr>
      <w:spacing w:line="300" w:lineRule="auto"/>
      <w:ind w:firstLine="480" w:firstLineChars="200"/>
    </w:pPr>
    <w:rPr>
      <w:sz w:val="24"/>
      <w:szCs w:val="24"/>
    </w:rPr>
  </w:style>
  <w:style w:type="paragraph" w:customStyle="1" w:styleId="357">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qFormat/>
    <w:uiPriority w:val="0"/>
    <w:pPr>
      <w:spacing w:line="360" w:lineRule="auto"/>
      <w:ind w:firstLine="480"/>
    </w:pPr>
    <w:rPr>
      <w:rFonts w:cs="宋体"/>
      <w:sz w:val="24"/>
    </w:rPr>
  </w:style>
  <w:style w:type="paragraph" w:customStyle="1" w:styleId="361">
    <w:name w:val="Char2"/>
    <w:basedOn w:val="1"/>
    <w:qFormat/>
    <w:uiPriority w:val="0"/>
    <w:rPr>
      <w:rFonts w:ascii="Tahoma" w:hAnsi="Tahoma" w:cs="仿宋_GB2312"/>
      <w:sz w:val="24"/>
      <w:szCs w:val="28"/>
    </w:rPr>
  </w:style>
  <w:style w:type="paragraph" w:customStyle="1" w:styleId="362">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5">
    <w:name w:val="论文正文"/>
    <w:basedOn w:val="34"/>
    <w:qFormat/>
    <w:uiPriority w:val="0"/>
    <w:pPr>
      <w:spacing w:line="360" w:lineRule="auto"/>
      <w:ind w:left="0" w:firstLine="200" w:firstLineChars="200"/>
      <w:jc w:val="left"/>
    </w:pPr>
    <w:rPr>
      <w:sz w:val="28"/>
      <w:szCs w:val="24"/>
    </w:rPr>
  </w:style>
  <w:style w:type="paragraph" w:customStyle="1" w:styleId="366">
    <w:name w:val="列出段落3"/>
    <w:basedOn w:val="1"/>
    <w:qFormat/>
    <w:uiPriority w:val="0"/>
    <w:pPr>
      <w:ind w:firstLine="420" w:firstLineChars="200"/>
    </w:pPr>
    <w:rPr>
      <w:szCs w:val="24"/>
    </w:rPr>
  </w:style>
  <w:style w:type="paragraph" w:customStyle="1" w:styleId="367">
    <w:name w:val="丁华标题1"/>
    <w:basedOn w:val="2"/>
    <w:next w:val="235"/>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qFormat/>
    <w:uiPriority w:val="0"/>
    <w:pPr>
      <w:tabs>
        <w:tab w:val="left" w:pos="1620"/>
      </w:tabs>
      <w:adjustRightInd w:val="0"/>
      <w:jc w:val="center"/>
    </w:pPr>
    <w:rPr>
      <w:bCs/>
      <w:color w:val="000000"/>
      <w:szCs w:val="22"/>
    </w:rPr>
  </w:style>
  <w:style w:type="paragraph" w:customStyle="1" w:styleId="369">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8"/>
    <w:qFormat/>
    <w:uiPriority w:val="0"/>
    <w:pPr>
      <w:spacing w:beforeLines="50" w:afterLines="50"/>
      <w:jc w:val="left"/>
    </w:pPr>
    <w:rPr>
      <w:rFonts w:cs="宋体"/>
      <w:bCs/>
      <w:sz w:val="30"/>
    </w:rPr>
  </w:style>
  <w:style w:type="paragraph" w:customStyle="1" w:styleId="374">
    <w:name w:val="Char Char Char Char Char Char Char Char Char Char Char1"/>
    <w:basedOn w:val="1"/>
    <w:qFormat/>
    <w:uiPriority w:val="0"/>
    <w:rPr>
      <w:rFonts w:ascii="Tahoma" w:hAnsi="Tahoma"/>
      <w:sz w:val="24"/>
    </w:rPr>
  </w:style>
  <w:style w:type="paragraph" w:customStyle="1" w:styleId="375">
    <w:name w:val="tableau"/>
    <w:basedOn w:val="1"/>
    <w:qFormat/>
    <w:uiPriority w:val="0"/>
    <w:pPr>
      <w:widowControl/>
      <w:spacing w:before="20" w:after="20"/>
      <w:jc w:val="center"/>
    </w:pPr>
    <w:rPr>
      <w:rFonts w:ascii="Arial" w:hAnsi="Arial"/>
      <w:kern w:val="0"/>
      <w:sz w:val="16"/>
      <w:lang w:val="en-GB" w:eastAsia="en-US"/>
    </w:rPr>
  </w:style>
  <w:style w:type="paragraph" w:customStyle="1" w:styleId="376">
    <w:name w:val="font14"/>
    <w:basedOn w:val="1"/>
    <w:qFormat/>
    <w:uiPriority w:val="0"/>
    <w:pPr>
      <w:widowControl/>
      <w:spacing w:before="100" w:beforeAutospacing="1" w:after="100" w:afterAutospacing="1"/>
      <w:jc w:val="left"/>
    </w:pPr>
    <w:rPr>
      <w:kern w:val="0"/>
      <w:sz w:val="36"/>
      <w:szCs w:val="36"/>
    </w:rPr>
  </w:style>
  <w:style w:type="paragraph" w:customStyle="1" w:styleId="377">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79">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qFormat/>
    <w:uiPriority w:val="0"/>
    <w:rPr>
      <w:rFonts w:ascii="Tahoma" w:hAnsi="Tahoma"/>
      <w:sz w:val="24"/>
    </w:rPr>
  </w:style>
  <w:style w:type="paragraph" w:customStyle="1" w:styleId="383">
    <w:name w:val="Default Text"/>
    <w:basedOn w:val="1"/>
    <w:qFormat/>
    <w:uiPriority w:val="0"/>
    <w:pPr>
      <w:widowControl/>
      <w:jc w:val="left"/>
    </w:pPr>
    <w:rPr>
      <w:kern w:val="0"/>
      <w:sz w:val="24"/>
      <w:lang w:eastAsia="en-US"/>
    </w:rPr>
  </w:style>
  <w:style w:type="paragraph" w:customStyle="1" w:styleId="38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qFormat/>
    <w:uiPriority w:val="0"/>
    <w:pPr>
      <w:widowControl/>
      <w:tabs>
        <w:tab w:val="left" w:pos="2240"/>
      </w:tabs>
      <w:ind w:hanging="420"/>
      <w:outlineLvl w:val="3"/>
    </w:pPr>
    <w:rPr>
      <w:rFonts w:eastAsia="黑体"/>
      <w:kern w:val="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qFormat/>
    <w:uiPriority w:val="0"/>
    <w:pPr>
      <w:spacing w:line="360" w:lineRule="auto"/>
      <w:ind w:firstLine="420" w:firstLineChars="200"/>
    </w:pPr>
    <w:rPr>
      <w:szCs w:val="24"/>
    </w:rPr>
  </w:style>
  <w:style w:type="paragraph" w:customStyle="1" w:styleId="393">
    <w:name w:val="Char Char Char Char Char Char Char Char1"/>
    <w:basedOn w:val="1"/>
    <w:qFormat/>
    <w:uiPriority w:val="0"/>
    <w:rPr>
      <w:rFonts w:ascii="Tahoma" w:hAnsi="Tahoma" w:cs="Tahoma"/>
      <w:sz w:val="24"/>
    </w:rPr>
  </w:style>
  <w:style w:type="paragraph" w:customStyle="1" w:styleId="394">
    <w:name w:val="Char Char Char Char1"/>
    <w:basedOn w:val="21"/>
    <w:qFormat/>
    <w:uiPriority w:val="0"/>
    <w:pPr>
      <w:adjustRightInd w:val="0"/>
      <w:snapToGrid w:val="0"/>
      <w:spacing w:line="360" w:lineRule="auto"/>
    </w:pPr>
    <w:rPr>
      <w:rFonts w:ascii="Tahoma" w:hAnsi="Tahoma"/>
      <w:sz w:val="24"/>
      <w:szCs w:val="24"/>
    </w:rPr>
  </w:style>
  <w:style w:type="paragraph" w:customStyle="1" w:styleId="395">
    <w:name w:val="正文1"/>
    <w:basedOn w:val="1"/>
    <w:qFormat/>
    <w:uiPriority w:val="0"/>
    <w:rPr>
      <w:rFonts w:ascii="Calibri" w:hAnsi="Calibri" w:eastAsia="Times New Roman" w:cs="宋体"/>
      <w:kern w:val="0"/>
      <w:lang w:val="zh-CN"/>
    </w:rPr>
  </w:style>
  <w:style w:type="paragraph" w:customStyle="1" w:styleId="396">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font51"/>
    <w:basedOn w:val="62"/>
    <w:qFormat/>
    <w:uiPriority w:val="0"/>
    <w:rPr>
      <w:rFonts w:hint="eastAsia" w:ascii="微软雅黑" w:hAnsi="微软雅黑" w:eastAsia="微软雅黑" w:cs="微软雅黑"/>
      <w:color w:val="000000"/>
      <w:sz w:val="22"/>
      <w:szCs w:val="22"/>
      <w:u w:val="none"/>
    </w:rPr>
  </w:style>
  <w:style w:type="character" w:customStyle="1" w:styleId="417">
    <w:name w:val="font31"/>
    <w:basedOn w:val="62"/>
    <w:qFormat/>
    <w:uiPriority w:val="0"/>
    <w:rPr>
      <w:rFonts w:ascii="Arial" w:hAnsi="Arial" w:cs="Arial"/>
      <w:color w:val="000000"/>
      <w:sz w:val="22"/>
      <w:szCs w:val="22"/>
      <w:u w:val="none"/>
    </w:rPr>
  </w:style>
  <w:style w:type="paragraph" w:customStyle="1" w:styleId="418">
    <w:name w:val="WPSOffice手动目录 1"/>
    <w:qFormat/>
    <w:uiPriority w:val="0"/>
    <w:pPr>
      <w:ind w:leftChars="0"/>
    </w:pPr>
    <w:rPr>
      <w:rFonts w:ascii="Calibri" w:hAnsi="Calibri" w:eastAsia="宋体" w:cs="Times New Roman"/>
      <w:sz w:val="20"/>
      <w:szCs w:val="20"/>
    </w:rPr>
  </w:style>
  <w:style w:type="paragraph" w:customStyle="1" w:styleId="419">
    <w:name w:val="Table Text"/>
    <w:basedOn w:val="1"/>
    <w:semiHidden/>
    <w:qFormat/>
    <w:uiPriority w:val="0"/>
    <w:rPr>
      <w:rFonts w:ascii="仿宋" w:hAnsi="仿宋" w:eastAsia="仿宋" w:cs="仿宋"/>
      <w:sz w:val="28"/>
      <w:szCs w:val="28"/>
      <w:lang w:val="en-US" w:eastAsia="en-US" w:bidi="ar-SA"/>
    </w:rPr>
  </w:style>
  <w:style w:type="table" w:customStyle="1" w:styleId="420">
    <w:name w:val="Table Normal"/>
    <w:semiHidden/>
    <w:unhideWhenUsed/>
    <w:qFormat/>
    <w:uiPriority w:val="0"/>
    <w:tblPr>
      <w:tblCellMar>
        <w:top w:w="0" w:type="dxa"/>
        <w:left w:w="0" w:type="dxa"/>
        <w:bottom w:w="0" w:type="dxa"/>
        <w:right w:w="0" w:type="dxa"/>
      </w:tblCellMar>
    </w:tblPr>
  </w:style>
  <w:style w:type="paragraph" w:customStyle="1" w:styleId="421">
    <w:name w:val="Char Char Char Char Char Char Char1 Char"/>
    <w:basedOn w:val="1"/>
    <w:autoRedefine/>
    <w:qFormat/>
    <w:uiPriority w:val="0"/>
    <w:rPr>
      <w:rFonts w:ascii="Arial" w:hAnsi="Arial" w:cs="Arial"/>
      <w:sz w:val="24"/>
    </w:rPr>
  </w:style>
  <w:style w:type="table" w:customStyle="1" w:styleId="422">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9" textRotate="1"/>
    <customShpInfo spid="_x0000_s4159" textRotate="1"/>
    <customShpInfo spid="_x0000_s4150" textRotate="1"/>
    <customShpInfo spid="_x0000_s4151" textRotate="1"/>
    <customShpInfo spid="_x0000_s4152" textRotate="1"/>
    <customShpInfo spid="_x0000_s4153" textRotate="1"/>
    <customShpInfo spid="_x0000_s4154" textRotate="1"/>
    <customShpInfo spid="_x0000_s4155" textRotate="1"/>
    <customShpInfo spid="_x0000_s4156" textRotate="1"/>
    <customShpInfo spid="_x0000_s4157"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40727-A016-4DCD-B545-A1B5FD3CB5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25843</Words>
  <Characters>27348</Characters>
  <Lines>186</Lines>
  <Paragraphs>52</Paragraphs>
  <TotalTime>15</TotalTime>
  <ScaleCrop>false</ScaleCrop>
  <LinksUpToDate>false</LinksUpToDate>
  <CharactersWithSpaces>30397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小阿☀️</cp:lastModifiedBy>
  <cp:lastPrinted>2024-10-15T09:29:00Z</cp:lastPrinted>
  <dcterms:modified xsi:type="dcterms:W3CDTF">2024-10-17T01:37:09Z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1021E5916BE8416A961AC9587CD2E350_12</vt:lpwstr>
  </property>
</Properties>
</file>